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A27" w:rsidRDefault="0011086A" w:rsidP="007C2754">
      <w:pPr>
        <w:pStyle w:val="NoteHead"/>
        <w:spacing w:before="240" w:after="0" w:line="360" w:lineRule="auto"/>
        <w:rPr>
          <w:sz w:val="28"/>
          <w:szCs w:val="28"/>
        </w:rPr>
      </w:pPr>
      <w:bookmarkStart w:id="0" w:name="_GoBack"/>
      <w:bookmarkEnd w:id="0"/>
      <w:r>
        <w:rPr>
          <w:sz w:val="28"/>
          <w:szCs w:val="28"/>
        </w:rPr>
        <w:t xml:space="preserve">Information </w:t>
      </w:r>
      <w:r w:rsidR="00491A27" w:rsidRPr="00C72238">
        <w:rPr>
          <w:sz w:val="28"/>
          <w:szCs w:val="28"/>
        </w:rPr>
        <w:t xml:space="preserve">Note </w:t>
      </w:r>
      <w:r w:rsidR="00491A27" w:rsidRPr="00DB498D">
        <w:rPr>
          <w:sz w:val="28"/>
          <w:szCs w:val="28"/>
        </w:rPr>
        <w:t xml:space="preserve">to </w:t>
      </w:r>
      <w:r>
        <w:rPr>
          <w:sz w:val="28"/>
          <w:szCs w:val="28"/>
        </w:rPr>
        <w:t>EGESIF</w:t>
      </w:r>
    </w:p>
    <w:p w:rsidR="00EC3AB9" w:rsidRPr="00EC3AB9" w:rsidRDefault="00EC3AB9" w:rsidP="007C2754">
      <w:pPr>
        <w:pStyle w:val="NoteHead"/>
        <w:spacing w:before="0" w:after="480" w:line="360" w:lineRule="auto"/>
        <w:rPr>
          <w:sz w:val="28"/>
          <w:szCs w:val="28"/>
        </w:rPr>
      </w:pPr>
      <w:r w:rsidRPr="00EC3AB9">
        <w:rPr>
          <w:sz w:val="28"/>
          <w:szCs w:val="28"/>
        </w:rPr>
        <w:t>Meeting of 30 April 2014</w:t>
      </w:r>
    </w:p>
    <w:p w:rsidR="00853733" w:rsidRDefault="00300CC3" w:rsidP="00853733">
      <w:pPr>
        <w:pStyle w:val="Subject"/>
        <w:spacing w:after="0" w:line="360" w:lineRule="auto"/>
        <w:jc w:val="center"/>
        <w:rPr>
          <w:szCs w:val="24"/>
        </w:rPr>
      </w:pPr>
      <w:r w:rsidRPr="006C6559">
        <w:rPr>
          <w:szCs w:val="24"/>
        </w:rPr>
        <w:t xml:space="preserve">Financial Instruments – Technical Advisory Platform: </w:t>
      </w:r>
    </w:p>
    <w:p w:rsidR="00491A27" w:rsidRPr="006C6559" w:rsidRDefault="00300CC3" w:rsidP="004B4DBA">
      <w:pPr>
        <w:pStyle w:val="Subject"/>
        <w:spacing w:line="360" w:lineRule="auto"/>
        <w:jc w:val="center"/>
        <w:rPr>
          <w:szCs w:val="24"/>
        </w:rPr>
      </w:pPr>
      <w:r w:rsidRPr="006C6559">
        <w:rPr>
          <w:szCs w:val="24"/>
        </w:rPr>
        <w:t xml:space="preserve">State of play and rolling out of </w:t>
      </w:r>
      <w:r w:rsidR="0038798F" w:rsidRPr="0014723C">
        <w:rPr>
          <w:szCs w:val="24"/>
        </w:rPr>
        <w:t xml:space="preserve">support </w:t>
      </w:r>
      <w:r w:rsidRPr="0014723C">
        <w:rPr>
          <w:szCs w:val="24"/>
        </w:rPr>
        <w:t>a</w:t>
      </w:r>
      <w:r w:rsidRPr="006C6559">
        <w:rPr>
          <w:szCs w:val="24"/>
        </w:rPr>
        <w:t xml:space="preserve">ctivities targeted at Managing Authorities </w:t>
      </w:r>
    </w:p>
    <w:p w:rsidR="00491A27" w:rsidRPr="006C6559" w:rsidRDefault="00491A27" w:rsidP="004B4DBA">
      <w:pPr>
        <w:spacing w:after="120" w:line="360" w:lineRule="auto"/>
        <w:rPr>
          <w:szCs w:val="24"/>
        </w:rPr>
      </w:pPr>
      <w:r w:rsidRPr="006C6559">
        <w:rPr>
          <w:szCs w:val="24"/>
        </w:rPr>
        <w:t xml:space="preserve">This note </w:t>
      </w:r>
      <w:r w:rsidR="0018573B" w:rsidRPr="006C6559">
        <w:rPr>
          <w:szCs w:val="24"/>
        </w:rPr>
        <w:t xml:space="preserve">takes stock of the </w:t>
      </w:r>
      <w:r w:rsidR="0018573B" w:rsidRPr="006C6559">
        <w:rPr>
          <w:b/>
          <w:szCs w:val="24"/>
        </w:rPr>
        <w:t>preparations of the Financial Instruments</w:t>
      </w:r>
      <w:r w:rsidR="004B4DBA">
        <w:rPr>
          <w:b/>
          <w:szCs w:val="24"/>
        </w:rPr>
        <w:t xml:space="preserve"> </w:t>
      </w:r>
      <w:r w:rsidR="0018573B" w:rsidRPr="006C6559">
        <w:rPr>
          <w:b/>
          <w:szCs w:val="24"/>
        </w:rPr>
        <w:t>-</w:t>
      </w:r>
      <w:r w:rsidR="004B4DBA">
        <w:rPr>
          <w:b/>
          <w:szCs w:val="24"/>
        </w:rPr>
        <w:t xml:space="preserve"> </w:t>
      </w:r>
      <w:r w:rsidR="0018573B" w:rsidRPr="006C6559">
        <w:rPr>
          <w:b/>
          <w:szCs w:val="24"/>
        </w:rPr>
        <w:t>Technical Advisory Platform (FI-TAP), as well as</w:t>
      </w:r>
      <w:r w:rsidR="00CA64A0" w:rsidRPr="006C6559">
        <w:rPr>
          <w:b/>
          <w:szCs w:val="24"/>
        </w:rPr>
        <w:t xml:space="preserve"> </w:t>
      </w:r>
      <w:r w:rsidR="0011086A">
        <w:rPr>
          <w:b/>
          <w:szCs w:val="24"/>
        </w:rPr>
        <w:t xml:space="preserve">outlines the </w:t>
      </w:r>
      <w:r w:rsidR="00CA64A0" w:rsidRPr="006C6559">
        <w:rPr>
          <w:b/>
          <w:szCs w:val="24"/>
        </w:rPr>
        <w:t xml:space="preserve">planning for </w:t>
      </w:r>
      <w:r w:rsidR="00E168A7" w:rsidRPr="006C6559">
        <w:rPr>
          <w:b/>
          <w:szCs w:val="24"/>
        </w:rPr>
        <w:t xml:space="preserve">the </w:t>
      </w:r>
      <w:r w:rsidR="0038798F" w:rsidRPr="0014723C">
        <w:rPr>
          <w:b/>
          <w:szCs w:val="24"/>
        </w:rPr>
        <w:t xml:space="preserve">support </w:t>
      </w:r>
      <w:r w:rsidR="0018573B" w:rsidRPr="0014723C">
        <w:rPr>
          <w:b/>
          <w:szCs w:val="24"/>
        </w:rPr>
        <w:t>activities</w:t>
      </w:r>
      <w:r w:rsidR="0018573B" w:rsidRPr="006C6559">
        <w:rPr>
          <w:szCs w:val="24"/>
        </w:rPr>
        <w:t xml:space="preserve"> targeted at Managing Authorities</w:t>
      </w:r>
      <w:r w:rsidR="00127D57" w:rsidRPr="006C6559">
        <w:rPr>
          <w:szCs w:val="24"/>
        </w:rPr>
        <w:t>.</w:t>
      </w:r>
    </w:p>
    <w:p w:rsidR="00491A27" w:rsidRPr="006C6559" w:rsidRDefault="00822058" w:rsidP="004B4DBA">
      <w:pPr>
        <w:pStyle w:val="Ttulo1"/>
        <w:spacing w:line="360" w:lineRule="auto"/>
        <w:rPr>
          <w:szCs w:val="24"/>
        </w:rPr>
      </w:pPr>
      <w:r>
        <w:rPr>
          <w:szCs w:val="24"/>
        </w:rPr>
        <w:t>The purpose and the scope of the FI-TAP</w:t>
      </w:r>
    </w:p>
    <w:p w:rsidR="00D938CE" w:rsidRPr="006C6559" w:rsidRDefault="00D938CE" w:rsidP="004B4DBA">
      <w:pPr>
        <w:spacing w:after="120" w:line="360" w:lineRule="auto"/>
        <w:rPr>
          <w:szCs w:val="24"/>
        </w:rPr>
      </w:pPr>
      <w:r w:rsidRPr="006C6559">
        <w:rPr>
          <w:szCs w:val="24"/>
        </w:rPr>
        <w:t>Financial instruments are an efficient way of investing public money to reach</w:t>
      </w:r>
      <w:r w:rsidR="00A365C7">
        <w:rPr>
          <w:szCs w:val="24"/>
        </w:rPr>
        <w:t xml:space="preserve"> various</w:t>
      </w:r>
      <w:r w:rsidRPr="006C6559">
        <w:rPr>
          <w:szCs w:val="24"/>
        </w:rPr>
        <w:t xml:space="preserve"> policy objectives. Because of</w:t>
      </w:r>
      <w:r w:rsidR="00CA64A0" w:rsidRPr="006C6559">
        <w:rPr>
          <w:szCs w:val="24"/>
        </w:rPr>
        <w:t xml:space="preserve">, </w:t>
      </w:r>
      <w:r w:rsidR="00CA64A0" w:rsidRPr="006C6559">
        <w:rPr>
          <w:i/>
          <w:szCs w:val="24"/>
        </w:rPr>
        <w:t>inter alia</w:t>
      </w:r>
      <w:r w:rsidR="00CA64A0" w:rsidRPr="006C6559">
        <w:rPr>
          <w:szCs w:val="24"/>
        </w:rPr>
        <w:t>,</w:t>
      </w:r>
      <w:r w:rsidRPr="006C6559">
        <w:rPr>
          <w:szCs w:val="24"/>
        </w:rPr>
        <w:t xml:space="preserve"> their revolving character and the potential to leverage private funding, the Commission supports their reinforced use for the ESI Funds in 2014-2020.</w:t>
      </w:r>
      <w:r w:rsidR="00B96F66" w:rsidRPr="006C6559">
        <w:rPr>
          <w:szCs w:val="24"/>
        </w:rPr>
        <w:t xml:space="preserve"> </w:t>
      </w:r>
      <w:r w:rsidRPr="006C6559">
        <w:rPr>
          <w:szCs w:val="24"/>
        </w:rPr>
        <w:t>To achieve this, the CPR and the Delegated and I</w:t>
      </w:r>
      <w:r w:rsidR="00CA64A0" w:rsidRPr="006C6559">
        <w:rPr>
          <w:szCs w:val="24"/>
        </w:rPr>
        <w:t>mplementing A</w:t>
      </w:r>
      <w:r w:rsidRPr="006C6559">
        <w:rPr>
          <w:szCs w:val="24"/>
        </w:rPr>
        <w:t xml:space="preserve">cts provide for a clear legislative framework. This, however, is not enough to ensure smooth uptake and </w:t>
      </w:r>
      <w:r w:rsidR="00CA64A0" w:rsidRPr="006C6559">
        <w:rPr>
          <w:szCs w:val="24"/>
        </w:rPr>
        <w:t xml:space="preserve">efficient </w:t>
      </w:r>
      <w:r w:rsidRPr="006C6559">
        <w:rPr>
          <w:szCs w:val="24"/>
        </w:rPr>
        <w:t>implementation.</w:t>
      </w:r>
    </w:p>
    <w:p w:rsidR="00692617" w:rsidRDefault="00D938CE" w:rsidP="004B4DBA">
      <w:pPr>
        <w:spacing w:after="120" w:line="360" w:lineRule="auto"/>
        <w:rPr>
          <w:szCs w:val="24"/>
        </w:rPr>
      </w:pPr>
      <w:r w:rsidRPr="006C6559">
        <w:rPr>
          <w:szCs w:val="24"/>
        </w:rPr>
        <w:t xml:space="preserve">Adequate assistance and advisory services </w:t>
      </w:r>
      <w:r w:rsidR="00A320E2">
        <w:rPr>
          <w:szCs w:val="24"/>
        </w:rPr>
        <w:t>f</w:t>
      </w:r>
      <w:r w:rsidRPr="006C6559">
        <w:rPr>
          <w:szCs w:val="24"/>
        </w:rPr>
        <w:t>o</w:t>
      </w:r>
      <w:r w:rsidR="00A320E2">
        <w:rPr>
          <w:szCs w:val="24"/>
        </w:rPr>
        <w:t>r</w:t>
      </w:r>
      <w:r w:rsidRPr="006C6559">
        <w:rPr>
          <w:szCs w:val="24"/>
        </w:rPr>
        <w:t xml:space="preserve"> the benefit of Managing Authorities</w:t>
      </w:r>
      <w:r w:rsidR="00CA64A0" w:rsidRPr="006C6559">
        <w:rPr>
          <w:szCs w:val="24"/>
        </w:rPr>
        <w:t xml:space="preserve"> and other stakeholder</w:t>
      </w:r>
      <w:r w:rsidRPr="006C6559">
        <w:rPr>
          <w:szCs w:val="24"/>
        </w:rPr>
        <w:t xml:space="preserve"> </w:t>
      </w:r>
      <w:r w:rsidR="00CA64A0" w:rsidRPr="006C6559">
        <w:rPr>
          <w:szCs w:val="24"/>
        </w:rPr>
        <w:t xml:space="preserve">are </w:t>
      </w:r>
      <w:r w:rsidR="00A47E97">
        <w:rPr>
          <w:szCs w:val="24"/>
        </w:rPr>
        <w:t xml:space="preserve">a </w:t>
      </w:r>
      <w:r w:rsidR="00CA64A0" w:rsidRPr="006C6559">
        <w:rPr>
          <w:szCs w:val="24"/>
        </w:rPr>
        <w:t xml:space="preserve">prerequisite. </w:t>
      </w:r>
      <w:r w:rsidR="008E4524">
        <w:rPr>
          <w:szCs w:val="24"/>
        </w:rPr>
        <w:t>Providing them</w:t>
      </w:r>
      <w:r w:rsidR="00286D35" w:rsidRPr="006C6559">
        <w:rPr>
          <w:szCs w:val="24"/>
        </w:rPr>
        <w:t xml:space="preserve"> </w:t>
      </w:r>
      <w:r w:rsidR="00CA64A0" w:rsidRPr="006C6559">
        <w:rPr>
          <w:szCs w:val="24"/>
        </w:rPr>
        <w:t>will be</w:t>
      </w:r>
      <w:r w:rsidR="00286D35" w:rsidRPr="006C6559">
        <w:rPr>
          <w:szCs w:val="24"/>
        </w:rPr>
        <w:t xml:space="preserve"> the mission of </w:t>
      </w:r>
      <w:r w:rsidRPr="006C6559">
        <w:rPr>
          <w:szCs w:val="24"/>
        </w:rPr>
        <w:t xml:space="preserve">the Financial Instruments - Technical Advisory Platform (FI-TAP). </w:t>
      </w:r>
    </w:p>
    <w:p w:rsidR="00822058" w:rsidRDefault="00D938CE" w:rsidP="004B4DBA">
      <w:pPr>
        <w:spacing w:after="120" w:line="360" w:lineRule="auto"/>
        <w:rPr>
          <w:szCs w:val="24"/>
        </w:rPr>
      </w:pPr>
      <w:r w:rsidRPr="006C6559">
        <w:rPr>
          <w:szCs w:val="24"/>
        </w:rPr>
        <w:t xml:space="preserve">The </w:t>
      </w:r>
      <w:r w:rsidR="00B96F66" w:rsidRPr="006C6559">
        <w:rPr>
          <w:szCs w:val="24"/>
        </w:rPr>
        <w:t>FI-</w:t>
      </w:r>
      <w:r w:rsidRPr="006C6559">
        <w:rPr>
          <w:szCs w:val="24"/>
        </w:rPr>
        <w:t xml:space="preserve">TAP </w:t>
      </w:r>
      <w:r w:rsidR="00B96F66" w:rsidRPr="006C6559">
        <w:rPr>
          <w:szCs w:val="24"/>
        </w:rPr>
        <w:t xml:space="preserve">will be a consolidated service </w:t>
      </w:r>
      <w:r w:rsidR="00CA64A0" w:rsidRPr="006C6559">
        <w:rPr>
          <w:szCs w:val="24"/>
        </w:rPr>
        <w:t>covering</w:t>
      </w:r>
      <w:r w:rsidR="00B96F66" w:rsidRPr="006C6559">
        <w:rPr>
          <w:szCs w:val="24"/>
        </w:rPr>
        <w:t xml:space="preserve"> </w:t>
      </w:r>
      <w:r w:rsidRPr="006C6559">
        <w:rPr>
          <w:szCs w:val="24"/>
        </w:rPr>
        <w:t xml:space="preserve">all ESI </w:t>
      </w:r>
      <w:r w:rsidR="00B96F66" w:rsidRPr="006C6559">
        <w:rPr>
          <w:szCs w:val="24"/>
        </w:rPr>
        <w:t xml:space="preserve">Funds and </w:t>
      </w:r>
      <w:r w:rsidRPr="006C6559">
        <w:rPr>
          <w:szCs w:val="24"/>
        </w:rPr>
        <w:t>all thematic objectives</w:t>
      </w:r>
      <w:r w:rsidR="00862B9F">
        <w:rPr>
          <w:szCs w:val="24"/>
        </w:rPr>
        <w:t xml:space="preserve"> and </w:t>
      </w:r>
      <w:r w:rsidR="00822058">
        <w:rPr>
          <w:szCs w:val="24"/>
        </w:rPr>
        <w:t xml:space="preserve">as such </w:t>
      </w:r>
      <w:r w:rsidR="00862B9F">
        <w:rPr>
          <w:szCs w:val="24"/>
        </w:rPr>
        <w:t xml:space="preserve">it </w:t>
      </w:r>
      <w:r w:rsidR="00692617">
        <w:rPr>
          <w:szCs w:val="24"/>
        </w:rPr>
        <w:t>will be</w:t>
      </w:r>
      <w:r w:rsidR="00692617" w:rsidRPr="006C6559">
        <w:rPr>
          <w:szCs w:val="24"/>
        </w:rPr>
        <w:t xml:space="preserve"> a joint initiative of DG REGIO, DG AGRI, DG EMPL and DG MARE.</w:t>
      </w:r>
      <w:r w:rsidR="00692617">
        <w:rPr>
          <w:szCs w:val="24"/>
        </w:rPr>
        <w:t xml:space="preserve"> </w:t>
      </w:r>
      <w:r w:rsidRPr="006C6559">
        <w:rPr>
          <w:szCs w:val="24"/>
        </w:rPr>
        <w:t xml:space="preserve">It </w:t>
      </w:r>
      <w:r w:rsidR="00A365C7">
        <w:rPr>
          <w:szCs w:val="24"/>
        </w:rPr>
        <w:t>is</w:t>
      </w:r>
      <w:r w:rsidR="00A365C7" w:rsidRPr="006C6559">
        <w:rPr>
          <w:szCs w:val="24"/>
        </w:rPr>
        <w:t xml:space="preserve"> </w:t>
      </w:r>
      <w:r w:rsidRPr="006C6559">
        <w:rPr>
          <w:szCs w:val="24"/>
        </w:rPr>
        <w:t xml:space="preserve">therefore </w:t>
      </w:r>
      <w:r w:rsidR="00A365C7">
        <w:rPr>
          <w:szCs w:val="24"/>
        </w:rPr>
        <w:t xml:space="preserve">designed to </w:t>
      </w:r>
      <w:r w:rsidRPr="006C6559">
        <w:rPr>
          <w:szCs w:val="24"/>
        </w:rPr>
        <w:t xml:space="preserve">replace and have a broader scope than the </w:t>
      </w:r>
      <w:r w:rsidR="00B96F66" w:rsidRPr="006C6559">
        <w:rPr>
          <w:szCs w:val="24"/>
        </w:rPr>
        <w:t xml:space="preserve">successful </w:t>
      </w:r>
      <w:r w:rsidRPr="006C6559">
        <w:rPr>
          <w:szCs w:val="24"/>
        </w:rPr>
        <w:t xml:space="preserve">technical assistance initiatives of the </w:t>
      </w:r>
      <w:r w:rsidR="00B96F66" w:rsidRPr="006C6559">
        <w:rPr>
          <w:szCs w:val="24"/>
        </w:rPr>
        <w:t xml:space="preserve">2007-2013 </w:t>
      </w:r>
      <w:r w:rsidRPr="006C6559">
        <w:rPr>
          <w:szCs w:val="24"/>
        </w:rPr>
        <w:t>programming period: JEREMIE</w:t>
      </w:r>
      <w:r w:rsidR="00B96F66" w:rsidRPr="006C6559">
        <w:rPr>
          <w:szCs w:val="24"/>
        </w:rPr>
        <w:t xml:space="preserve"> (TA for FIs for enterprises)</w:t>
      </w:r>
      <w:r w:rsidRPr="006C6559">
        <w:rPr>
          <w:szCs w:val="24"/>
        </w:rPr>
        <w:t>, JESSICA</w:t>
      </w:r>
      <w:r w:rsidR="00B96F66" w:rsidRPr="006C6559">
        <w:rPr>
          <w:szCs w:val="24"/>
        </w:rPr>
        <w:t xml:space="preserve"> (TA for FIs</w:t>
      </w:r>
      <w:r w:rsidRPr="006C6559">
        <w:rPr>
          <w:szCs w:val="24"/>
        </w:rPr>
        <w:t xml:space="preserve"> </w:t>
      </w:r>
      <w:r w:rsidR="00B96F66" w:rsidRPr="006C6559">
        <w:rPr>
          <w:szCs w:val="24"/>
        </w:rPr>
        <w:t xml:space="preserve">for urban development and energy efficiency) </w:t>
      </w:r>
      <w:r w:rsidRPr="006C6559">
        <w:rPr>
          <w:szCs w:val="24"/>
        </w:rPr>
        <w:t>and JASMINE</w:t>
      </w:r>
      <w:r w:rsidR="00B96F66" w:rsidRPr="006C6559">
        <w:rPr>
          <w:szCs w:val="24"/>
        </w:rPr>
        <w:t xml:space="preserve"> (TA for micro-credit)</w:t>
      </w:r>
      <w:r w:rsidRPr="006C6559">
        <w:rPr>
          <w:szCs w:val="24"/>
        </w:rPr>
        <w:t>.</w:t>
      </w:r>
      <w:r w:rsidR="00A365C7">
        <w:rPr>
          <w:szCs w:val="24"/>
        </w:rPr>
        <w:t xml:space="preserve"> </w:t>
      </w:r>
    </w:p>
    <w:p w:rsidR="00D938CE" w:rsidRPr="006C6559" w:rsidRDefault="00692617" w:rsidP="004B4DBA">
      <w:pPr>
        <w:spacing w:after="120" w:line="360" w:lineRule="auto"/>
        <w:rPr>
          <w:szCs w:val="24"/>
        </w:rPr>
      </w:pPr>
      <w:r w:rsidRPr="006C6559">
        <w:rPr>
          <w:szCs w:val="24"/>
        </w:rPr>
        <w:t>The main objective is to cover the ESI Funds-supported financial instruments. However, services linked to the micro-credit instruments financed under the EU Programme for Employment and Social Innovation (EaSI)</w:t>
      </w:r>
      <w:r w:rsidRPr="006C6559">
        <w:rPr>
          <w:rStyle w:val="Refdenotaalpie"/>
          <w:szCs w:val="24"/>
        </w:rPr>
        <w:footnoteReference w:id="1"/>
      </w:r>
      <w:r w:rsidRPr="006C6559">
        <w:rPr>
          <w:szCs w:val="24"/>
        </w:rPr>
        <w:t xml:space="preserve"> will </w:t>
      </w:r>
      <w:r>
        <w:rPr>
          <w:szCs w:val="24"/>
        </w:rPr>
        <w:t xml:space="preserve">also </w:t>
      </w:r>
      <w:r w:rsidRPr="006C6559">
        <w:rPr>
          <w:szCs w:val="24"/>
        </w:rPr>
        <w:t xml:space="preserve">be </w:t>
      </w:r>
      <w:r>
        <w:rPr>
          <w:szCs w:val="24"/>
        </w:rPr>
        <w:t xml:space="preserve">covered to ensure a coherent </w:t>
      </w:r>
      <w:r>
        <w:rPr>
          <w:szCs w:val="24"/>
        </w:rPr>
        <w:lastRenderedPageBreak/>
        <w:t>approach to activities succeeding</w:t>
      </w:r>
      <w:r w:rsidRPr="006C6559">
        <w:rPr>
          <w:szCs w:val="24"/>
        </w:rPr>
        <w:t xml:space="preserve"> </w:t>
      </w:r>
      <w:r>
        <w:rPr>
          <w:szCs w:val="24"/>
        </w:rPr>
        <w:t xml:space="preserve">the </w:t>
      </w:r>
      <w:r w:rsidRPr="006C6559">
        <w:rPr>
          <w:szCs w:val="24"/>
        </w:rPr>
        <w:t>JASMINE</w:t>
      </w:r>
      <w:r>
        <w:rPr>
          <w:szCs w:val="24"/>
        </w:rPr>
        <w:t xml:space="preserve"> 2007-2013</w:t>
      </w:r>
      <w:r w:rsidRPr="006C6559">
        <w:rPr>
          <w:szCs w:val="24"/>
        </w:rPr>
        <w:t xml:space="preserve"> </w:t>
      </w:r>
      <w:r>
        <w:rPr>
          <w:szCs w:val="24"/>
        </w:rPr>
        <w:t>initiative</w:t>
      </w:r>
      <w:r w:rsidRPr="006C6559">
        <w:rPr>
          <w:szCs w:val="24"/>
        </w:rPr>
        <w:t xml:space="preserve">. </w:t>
      </w:r>
      <w:r w:rsidR="00A365C7">
        <w:rPr>
          <w:szCs w:val="24"/>
        </w:rPr>
        <w:t>For the EAFRD and the EMFF it will be the first initiative of this kind in the field of financial instruments.</w:t>
      </w:r>
    </w:p>
    <w:p w:rsidR="00D938CE" w:rsidRPr="006C6559" w:rsidRDefault="00D938CE" w:rsidP="004B4DBA">
      <w:pPr>
        <w:keepNext/>
        <w:spacing w:after="120" w:line="360" w:lineRule="auto"/>
        <w:rPr>
          <w:szCs w:val="24"/>
        </w:rPr>
      </w:pPr>
      <w:r w:rsidRPr="006C6559">
        <w:rPr>
          <w:szCs w:val="24"/>
        </w:rPr>
        <w:t xml:space="preserve">The </w:t>
      </w:r>
      <w:r w:rsidR="00B96F66" w:rsidRPr="006C6559">
        <w:rPr>
          <w:szCs w:val="24"/>
        </w:rPr>
        <w:t>FI-</w:t>
      </w:r>
      <w:r w:rsidRPr="006C6559">
        <w:rPr>
          <w:szCs w:val="24"/>
        </w:rPr>
        <w:t>TAP will consist of two strands:</w:t>
      </w:r>
    </w:p>
    <w:p w:rsidR="00D938CE" w:rsidRPr="006C6559" w:rsidRDefault="00D938CE" w:rsidP="004B4DBA">
      <w:pPr>
        <w:pStyle w:val="Prrafodelista"/>
        <w:keepNext/>
        <w:numPr>
          <w:ilvl w:val="0"/>
          <w:numId w:val="20"/>
        </w:numPr>
        <w:spacing w:after="120" w:line="360" w:lineRule="auto"/>
        <w:ind w:left="714" w:hanging="357"/>
        <w:jc w:val="both"/>
        <w:rPr>
          <w:rFonts w:ascii="Times New Roman" w:hAnsi="Times New Roman"/>
          <w:sz w:val="24"/>
          <w:szCs w:val="24"/>
        </w:rPr>
      </w:pPr>
      <w:r w:rsidRPr="006C6559">
        <w:rPr>
          <w:rFonts w:ascii="Times New Roman" w:hAnsi="Times New Roman"/>
          <w:b/>
          <w:sz w:val="24"/>
          <w:szCs w:val="24"/>
        </w:rPr>
        <w:t xml:space="preserve">Horizontal </w:t>
      </w:r>
      <w:r w:rsidR="00285F01" w:rsidRPr="006C6559">
        <w:rPr>
          <w:rFonts w:ascii="Times New Roman" w:hAnsi="Times New Roman"/>
          <w:b/>
          <w:sz w:val="24"/>
          <w:szCs w:val="24"/>
        </w:rPr>
        <w:t xml:space="preserve">advisory services </w:t>
      </w:r>
      <w:r w:rsidRPr="006C6559">
        <w:rPr>
          <w:rFonts w:ascii="Times New Roman" w:hAnsi="Times New Roman"/>
          <w:sz w:val="24"/>
          <w:szCs w:val="24"/>
        </w:rPr>
        <w:t xml:space="preserve">which will be </w:t>
      </w:r>
      <w:r w:rsidR="00AB1C14">
        <w:rPr>
          <w:rFonts w:ascii="Times New Roman" w:hAnsi="Times New Roman"/>
          <w:sz w:val="24"/>
          <w:szCs w:val="24"/>
        </w:rPr>
        <w:t>made available</w:t>
      </w:r>
      <w:r w:rsidR="00AB1C14" w:rsidRPr="006C6559">
        <w:rPr>
          <w:rFonts w:ascii="Times New Roman" w:hAnsi="Times New Roman"/>
          <w:sz w:val="24"/>
          <w:szCs w:val="24"/>
        </w:rPr>
        <w:t xml:space="preserve"> </w:t>
      </w:r>
      <w:r w:rsidRPr="006C6559">
        <w:rPr>
          <w:rFonts w:ascii="Times New Roman" w:hAnsi="Times New Roman"/>
          <w:sz w:val="24"/>
          <w:szCs w:val="24"/>
        </w:rPr>
        <w:t xml:space="preserve">to all MS and </w:t>
      </w:r>
      <w:r w:rsidR="00AB1C14">
        <w:rPr>
          <w:rFonts w:ascii="Times New Roman" w:hAnsi="Times New Roman"/>
          <w:sz w:val="24"/>
          <w:szCs w:val="24"/>
        </w:rPr>
        <w:t xml:space="preserve">for all </w:t>
      </w:r>
      <w:r w:rsidRPr="006C6559">
        <w:rPr>
          <w:rFonts w:ascii="Times New Roman" w:hAnsi="Times New Roman"/>
          <w:sz w:val="24"/>
          <w:szCs w:val="24"/>
        </w:rPr>
        <w:t>types of financial instruments and</w:t>
      </w:r>
      <w:r w:rsidR="00DB498D">
        <w:rPr>
          <w:rFonts w:ascii="Times New Roman" w:hAnsi="Times New Roman"/>
          <w:sz w:val="24"/>
          <w:szCs w:val="24"/>
        </w:rPr>
        <w:t xml:space="preserve"> which will be</w:t>
      </w:r>
      <w:r w:rsidRPr="006C6559">
        <w:rPr>
          <w:rFonts w:ascii="Times New Roman" w:hAnsi="Times New Roman"/>
          <w:sz w:val="24"/>
          <w:szCs w:val="24"/>
        </w:rPr>
        <w:t xml:space="preserve"> initiated an</w:t>
      </w:r>
      <w:r w:rsidR="00CA64A0" w:rsidRPr="006C6559">
        <w:rPr>
          <w:rFonts w:ascii="Times New Roman" w:hAnsi="Times New Roman"/>
          <w:sz w:val="24"/>
          <w:szCs w:val="24"/>
        </w:rPr>
        <w:t>d financed by the</w:t>
      </w:r>
      <w:r w:rsidR="008E4524">
        <w:rPr>
          <w:rFonts w:ascii="Times New Roman" w:hAnsi="Times New Roman"/>
          <w:sz w:val="24"/>
          <w:szCs w:val="24"/>
        </w:rPr>
        <w:t xml:space="preserve"> Commission</w:t>
      </w:r>
      <w:r w:rsidR="00CA64A0" w:rsidRPr="006C6559">
        <w:rPr>
          <w:rFonts w:ascii="Times New Roman" w:hAnsi="Times New Roman"/>
          <w:sz w:val="24"/>
          <w:szCs w:val="24"/>
        </w:rPr>
        <w:t xml:space="preserve"> (top-down).</w:t>
      </w:r>
      <w:r w:rsidRPr="006C6559">
        <w:rPr>
          <w:rFonts w:ascii="Times New Roman" w:hAnsi="Times New Roman"/>
          <w:sz w:val="24"/>
          <w:szCs w:val="24"/>
        </w:rPr>
        <w:t xml:space="preserve"> Activities </w:t>
      </w:r>
      <w:r w:rsidR="00AB1C14">
        <w:rPr>
          <w:rFonts w:ascii="Times New Roman" w:hAnsi="Times New Roman"/>
          <w:sz w:val="24"/>
          <w:szCs w:val="24"/>
        </w:rPr>
        <w:t>will</w:t>
      </w:r>
      <w:r w:rsidR="00AB1C14" w:rsidRPr="006C6559">
        <w:rPr>
          <w:rFonts w:ascii="Times New Roman" w:hAnsi="Times New Roman"/>
          <w:sz w:val="24"/>
          <w:szCs w:val="24"/>
        </w:rPr>
        <w:t xml:space="preserve"> </w:t>
      </w:r>
      <w:r w:rsidRPr="006C6559">
        <w:rPr>
          <w:rFonts w:ascii="Times New Roman" w:hAnsi="Times New Roman"/>
          <w:sz w:val="24"/>
          <w:szCs w:val="24"/>
        </w:rPr>
        <w:t>typically include the exchange of good practice and networking across MS, as well as training or guid</w:t>
      </w:r>
      <w:r w:rsidR="008B5DC8">
        <w:rPr>
          <w:rFonts w:ascii="Times New Roman" w:hAnsi="Times New Roman"/>
          <w:sz w:val="24"/>
          <w:szCs w:val="24"/>
        </w:rPr>
        <w:t>es</w:t>
      </w:r>
      <w:r w:rsidRPr="006C6559">
        <w:rPr>
          <w:rFonts w:ascii="Times New Roman" w:hAnsi="Times New Roman"/>
          <w:sz w:val="24"/>
          <w:szCs w:val="24"/>
        </w:rPr>
        <w:t xml:space="preserve"> on common themes such as </w:t>
      </w:r>
      <w:r w:rsidR="004D21BF" w:rsidRPr="006C6559">
        <w:rPr>
          <w:rFonts w:ascii="Times New Roman" w:hAnsi="Times New Roman"/>
          <w:sz w:val="24"/>
          <w:szCs w:val="24"/>
        </w:rPr>
        <w:t xml:space="preserve">the </w:t>
      </w:r>
      <w:r w:rsidRPr="006C6559">
        <w:rPr>
          <w:rFonts w:ascii="Times New Roman" w:hAnsi="Times New Roman"/>
          <w:sz w:val="24"/>
          <w:szCs w:val="24"/>
        </w:rPr>
        <w:t>ex-an</w:t>
      </w:r>
      <w:r w:rsidR="004D21BF" w:rsidRPr="006C6559">
        <w:rPr>
          <w:rFonts w:ascii="Times New Roman" w:hAnsi="Times New Roman"/>
          <w:sz w:val="24"/>
          <w:szCs w:val="24"/>
        </w:rPr>
        <w:t>te assessment</w:t>
      </w:r>
      <w:r w:rsidRPr="006C6559">
        <w:rPr>
          <w:rFonts w:ascii="Times New Roman" w:hAnsi="Times New Roman"/>
          <w:sz w:val="24"/>
          <w:szCs w:val="24"/>
        </w:rPr>
        <w:t xml:space="preserve">, public procurement, regulatory aspects concerning </w:t>
      </w:r>
      <w:r w:rsidR="00A365C7">
        <w:rPr>
          <w:rFonts w:ascii="Times New Roman" w:hAnsi="Times New Roman"/>
          <w:sz w:val="24"/>
          <w:szCs w:val="24"/>
        </w:rPr>
        <w:t>ESIF's</w:t>
      </w:r>
      <w:r w:rsidR="00A365C7" w:rsidRPr="006C6559">
        <w:rPr>
          <w:rFonts w:ascii="Times New Roman" w:hAnsi="Times New Roman"/>
          <w:sz w:val="24"/>
          <w:szCs w:val="24"/>
        </w:rPr>
        <w:t xml:space="preserve"> </w:t>
      </w:r>
      <w:r w:rsidRPr="006C6559">
        <w:rPr>
          <w:rFonts w:ascii="Times New Roman" w:hAnsi="Times New Roman"/>
          <w:sz w:val="24"/>
          <w:szCs w:val="24"/>
        </w:rPr>
        <w:t>polic</w:t>
      </w:r>
      <w:r w:rsidR="00A365C7">
        <w:rPr>
          <w:rFonts w:ascii="Times New Roman" w:hAnsi="Times New Roman"/>
          <w:sz w:val="24"/>
          <w:szCs w:val="24"/>
        </w:rPr>
        <w:t>ies</w:t>
      </w:r>
      <w:r w:rsidRPr="006C6559">
        <w:rPr>
          <w:rFonts w:ascii="Times New Roman" w:hAnsi="Times New Roman"/>
          <w:sz w:val="24"/>
          <w:szCs w:val="24"/>
        </w:rPr>
        <w:t>, state aid, etc.</w:t>
      </w:r>
      <w:r w:rsidR="007D29BC" w:rsidRPr="006C6559">
        <w:rPr>
          <w:rFonts w:ascii="Times New Roman" w:hAnsi="Times New Roman"/>
          <w:sz w:val="24"/>
          <w:szCs w:val="24"/>
        </w:rPr>
        <w:t xml:space="preserve"> The EIB will be contracted to provide these services.</w:t>
      </w:r>
    </w:p>
    <w:p w:rsidR="00D938CE" w:rsidRPr="006C6559" w:rsidRDefault="00D938CE" w:rsidP="004B4DBA">
      <w:pPr>
        <w:pStyle w:val="Prrafodelista"/>
        <w:numPr>
          <w:ilvl w:val="0"/>
          <w:numId w:val="20"/>
        </w:numPr>
        <w:spacing w:after="120" w:line="360" w:lineRule="auto"/>
        <w:ind w:left="714" w:hanging="357"/>
        <w:jc w:val="both"/>
        <w:rPr>
          <w:rFonts w:ascii="Times New Roman" w:hAnsi="Times New Roman"/>
          <w:sz w:val="24"/>
          <w:szCs w:val="24"/>
        </w:rPr>
      </w:pPr>
      <w:r w:rsidRPr="006C6559">
        <w:rPr>
          <w:rFonts w:ascii="Times New Roman" w:hAnsi="Times New Roman"/>
          <w:b/>
          <w:sz w:val="24"/>
          <w:szCs w:val="24"/>
        </w:rPr>
        <w:t xml:space="preserve">Multi-region </w:t>
      </w:r>
      <w:r w:rsidR="00285F01" w:rsidRPr="006C6559">
        <w:rPr>
          <w:rFonts w:ascii="Times New Roman" w:hAnsi="Times New Roman"/>
          <w:b/>
          <w:sz w:val="24"/>
          <w:szCs w:val="24"/>
        </w:rPr>
        <w:t>advisory services</w:t>
      </w:r>
      <w:r w:rsidRPr="006C6559">
        <w:rPr>
          <w:rFonts w:ascii="Times New Roman" w:hAnsi="Times New Roman"/>
          <w:sz w:val="24"/>
          <w:szCs w:val="24"/>
        </w:rPr>
        <w:t xml:space="preserve"> will be initiated by stakeholders for the benefit of more than 2 managing authorities in a minimum number of 2 M</w:t>
      </w:r>
      <w:r w:rsidR="00611060">
        <w:rPr>
          <w:rFonts w:ascii="Times New Roman" w:hAnsi="Times New Roman"/>
          <w:sz w:val="24"/>
          <w:szCs w:val="24"/>
        </w:rPr>
        <w:t xml:space="preserve">ember </w:t>
      </w:r>
      <w:r w:rsidRPr="006C6559">
        <w:rPr>
          <w:rFonts w:ascii="Times New Roman" w:hAnsi="Times New Roman"/>
          <w:sz w:val="24"/>
          <w:szCs w:val="24"/>
        </w:rPr>
        <w:t>S</w:t>
      </w:r>
      <w:r w:rsidR="00611060">
        <w:rPr>
          <w:rFonts w:ascii="Times New Roman" w:hAnsi="Times New Roman"/>
          <w:sz w:val="24"/>
          <w:szCs w:val="24"/>
        </w:rPr>
        <w:t>tates</w:t>
      </w:r>
      <w:r w:rsidRPr="006C6559">
        <w:rPr>
          <w:rFonts w:ascii="Times New Roman" w:hAnsi="Times New Roman"/>
          <w:sz w:val="24"/>
          <w:szCs w:val="24"/>
        </w:rPr>
        <w:t xml:space="preserve"> (bottom up). It will be paid by the EC on the basis of calls for </w:t>
      </w:r>
      <w:r w:rsidR="00CA64A0" w:rsidRPr="006C6559">
        <w:rPr>
          <w:rFonts w:ascii="Times New Roman" w:hAnsi="Times New Roman"/>
          <w:sz w:val="24"/>
          <w:szCs w:val="24"/>
        </w:rPr>
        <w:t>proposals</w:t>
      </w:r>
      <w:r w:rsidRPr="006C6559">
        <w:rPr>
          <w:rFonts w:ascii="Times New Roman" w:hAnsi="Times New Roman"/>
          <w:sz w:val="24"/>
          <w:szCs w:val="24"/>
        </w:rPr>
        <w:t xml:space="preserve">. Activities </w:t>
      </w:r>
      <w:r w:rsidR="00AB1C14">
        <w:rPr>
          <w:rFonts w:ascii="Times New Roman" w:hAnsi="Times New Roman"/>
          <w:sz w:val="24"/>
          <w:szCs w:val="24"/>
        </w:rPr>
        <w:t>will</w:t>
      </w:r>
      <w:r w:rsidR="00AB1C14" w:rsidRPr="006C6559">
        <w:rPr>
          <w:rFonts w:ascii="Times New Roman" w:hAnsi="Times New Roman"/>
          <w:sz w:val="24"/>
          <w:szCs w:val="24"/>
        </w:rPr>
        <w:t xml:space="preserve"> </w:t>
      </w:r>
      <w:r w:rsidRPr="006C6559">
        <w:rPr>
          <w:rFonts w:ascii="Times New Roman" w:hAnsi="Times New Roman"/>
          <w:sz w:val="24"/>
          <w:szCs w:val="24"/>
        </w:rPr>
        <w:t>typically include support for the development of FIs targeting development objectives or market failure</w:t>
      </w:r>
      <w:r w:rsidR="00A365C7">
        <w:rPr>
          <w:rFonts w:ascii="Times New Roman" w:hAnsi="Times New Roman"/>
          <w:sz w:val="24"/>
          <w:szCs w:val="24"/>
        </w:rPr>
        <w:t>(s)</w:t>
      </w:r>
      <w:r w:rsidRPr="006C6559">
        <w:rPr>
          <w:rFonts w:ascii="Times New Roman" w:hAnsi="Times New Roman"/>
          <w:sz w:val="24"/>
          <w:szCs w:val="24"/>
        </w:rPr>
        <w:t xml:space="preserve"> that are shared by </w:t>
      </w:r>
      <w:r w:rsidR="00A365C7">
        <w:rPr>
          <w:rFonts w:ascii="Times New Roman" w:hAnsi="Times New Roman"/>
          <w:sz w:val="24"/>
          <w:szCs w:val="24"/>
        </w:rPr>
        <w:t>the applying</w:t>
      </w:r>
      <w:r w:rsidRPr="006C6559">
        <w:rPr>
          <w:rFonts w:ascii="Times New Roman" w:hAnsi="Times New Roman"/>
          <w:sz w:val="24"/>
          <w:szCs w:val="24"/>
        </w:rPr>
        <w:t xml:space="preserve"> regions (e.g. energy efficiency interventions in housing in C</w:t>
      </w:r>
      <w:r w:rsidR="004D21BF" w:rsidRPr="006C6559">
        <w:rPr>
          <w:rFonts w:ascii="Times New Roman" w:hAnsi="Times New Roman"/>
          <w:sz w:val="24"/>
          <w:szCs w:val="24"/>
        </w:rPr>
        <w:t xml:space="preserve">entral and </w:t>
      </w:r>
      <w:r w:rsidRPr="006C6559">
        <w:rPr>
          <w:rFonts w:ascii="Times New Roman" w:hAnsi="Times New Roman"/>
          <w:sz w:val="24"/>
          <w:szCs w:val="24"/>
        </w:rPr>
        <w:t>E</w:t>
      </w:r>
      <w:r w:rsidR="004D21BF" w:rsidRPr="006C6559">
        <w:rPr>
          <w:rFonts w:ascii="Times New Roman" w:hAnsi="Times New Roman"/>
          <w:sz w:val="24"/>
          <w:szCs w:val="24"/>
        </w:rPr>
        <w:t xml:space="preserve">astern </w:t>
      </w:r>
      <w:r w:rsidRPr="006C6559">
        <w:rPr>
          <w:rFonts w:ascii="Times New Roman" w:hAnsi="Times New Roman"/>
          <w:sz w:val="24"/>
          <w:szCs w:val="24"/>
        </w:rPr>
        <w:t>E</w:t>
      </w:r>
      <w:r w:rsidR="004D21BF" w:rsidRPr="006C6559">
        <w:rPr>
          <w:rFonts w:ascii="Times New Roman" w:hAnsi="Times New Roman"/>
          <w:sz w:val="24"/>
          <w:szCs w:val="24"/>
        </w:rPr>
        <w:t>urope</w:t>
      </w:r>
      <w:r w:rsidR="00A365C7">
        <w:rPr>
          <w:rFonts w:ascii="Times New Roman" w:hAnsi="Times New Roman"/>
          <w:sz w:val="24"/>
          <w:szCs w:val="24"/>
        </w:rPr>
        <w:t>an EU countries</w:t>
      </w:r>
      <w:r w:rsidRPr="006C6559">
        <w:rPr>
          <w:rFonts w:ascii="Times New Roman" w:hAnsi="Times New Roman"/>
          <w:sz w:val="24"/>
          <w:szCs w:val="24"/>
        </w:rPr>
        <w:t xml:space="preserve"> or cross-border initiatives).</w:t>
      </w:r>
    </w:p>
    <w:p w:rsidR="004D21BF" w:rsidRPr="006C6559" w:rsidRDefault="004961EA" w:rsidP="004B4DBA">
      <w:pPr>
        <w:spacing w:after="120" w:line="360" w:lineRule="auto"/>
        <w:rPr>
          <w:szCs w:val="24"/>
        </w:rPr>
      </w:pPr>
      <w:r w:rsidRPr="006C6559">
        <w:rPr>
          <w:szCs w:val="24"/>
        </w:rPr>
        <w:t>It is worth noting that t</w:t>
      </w:r>
      <w:r w:rsidR="00FF79E7" w:rsidRPr="006C6559">
        <w:rPr>
          <w:szCs w:val="24"/>
        </w:rPr>
        <w:t>o complement</w:t>
      </w:r>
      <w:r w:rsidRPr="006C6559">
        <w:rPr>
          <w:szCs w:val="24"/>
        </w:rPr>
        <w:t xml:space="preserve"> the advisory services offered by the FI-TAP as described above</w:t>
      </w:r>
      <w:r w:rsidR="00CA64A0" w:rsidRPr="006C6559">
        <w:rPr>
          <w:szCs w:val="24"/>
        </w:rPr>
        <w:t xml:space="preserve"> the</w:t>
      </w:r>
      <w:r w:rsidR="00B96F66" w:rsidRPr="006C6559">
        <w:rPr>
          <w:szCs w:val="24"/>
        </w:rPr>
        <w:t xml:space="preserve"> </w:t>
      </w:r>
      <w:r w:rsidR="00D938CE" w:rsidRPr="006C6559">
        <w:rPr>
          <w:szCs w:val="24"/>
        </w:rPr>
        <w:t>Member State</w:t>
      </w:r>
      <w:r w:rsidR="00286D35" w:rsidRPr="006C6559">
        <w:rPr>
          <w:szCs w:val="24"/>
        </w:rPr>
        <w:t>s</w:t>
      </w:r>
      <w:r w:rsidR="00D938CE" w:rsidRPr="006C6559">
        <w:rPr>
          <w:szCs w:val="24"/>
        </w:rPr>
        <w:t xml:space="preserve"> </w:t>
      </w:r>
      <w:r w:rsidR="0011086A">
        <w:rPr>
          <w:szCs w:val="24"/>
        </w:rPr>
        <w:t>will be</w:t>
      </w:r>
      <w:r w:rsidR="008E4524">
        <w:rPr>
          <w:szCs w:val="24"/>
        </w:rPr>
        <w:t xml:space="preserve"> able to</w:t>
      </w:r>
      <w:r w:rsidR="00286D35" w:rsidRPr="006C6559">
        <w:rPr>
          <w:szCs w:val="24"/>
        </w:rPr>
        <w:t xml:space="preserve"> use </w:t>
      </w:r>
      <w:r w:rsidR="00D938CE" w:rsidRPr="006C6559">
        <w:rPr>
          <w:szCs w:val="24"/>
        </w:rPr>
        <w:t>the technical assistance of the</w:t>
      </w:r>
      <w:r w:rsidR="00CA64A0" w:rsidRPr="006C6559">
        <w:rPr>
          <w:szCs w:val="24"/>
        </w:rPr>
        <w:t>ir</w:t>
      </w:r>
      <w:r w:rsidR="00D938CE" w:rsidRPr="006C6559">
        <w:rPr>
          <w:szCs w:val="24"/>
        </w:rPr>
        <w:t xml:space="preserve"> relevant (operational) programme</w:t>
      </w:r>
      <w:r w:rsidR="00CA64A0" w:rsidRPr="006C6559">
        <w:rPr>
          <w:szCs w:val="24"/>
        </w:rPr>
        <w:t>s</w:t>
      </w:r>
      <w:r w:rsidR="00286D35" w:rsidRPr="006C6559">
        <w:rPr>
          <w:szCs w:val="24"/>
        </w:rPr>
        <w:t xml:space="preserve"> to cover for </w:t>
      </w:r>
      <w:r w:rsidR="00CA64A0" w:rsidRPr="006C6559">
        <w:rPr>
          <w:szCs w:val="24"/>
        </w:rPr>
        <w:t>technical assistance and advisory</w:t>
      </w:r>
      <w:r w:rsidR="00286D35" w:rsidRPr="006C6559">
        <w:rPr>
          <w:szCs w:val="24"/>
        </w:rPr>
        <w:t xml:space="preserve"> needs </w:t>
      </w:r>
      <w:r w:rsidR="00CA64A0" w:rsidRPr="006C6559">
        <w:rPr>
          <w:szCs w:val="24"/>
        </w:rPr>
        <w:t xml:space="preserve">which are </w:t>
      </w:r>
      <w:r w:rsidR="00286D35" w:rsidRPr="006C6559">
        <w:rPr>
          <w:szCs w:val="24"/>
        </w:rPr>
        <w:t xml:space="preserve">specific </w:t>
      </w:r>
      <w:r w:rsidR="00CA64A0" w:rsidRPr="006C6559">
        <w:rPr>
          <w:szCs w:val="24"/>
        </w:rPr>
        <w:t xml:space="preserve">only </w:t>
      </w:r>
      <w:r w:rsidR="00286D35" w:rsidRPr="006C6559">
        <w:rPr>
          <w:szCs w:val="24"/>
        </w:rPr>
        <w:t>to them</w:t>
      </w:r>
      <w:r w:rsidR="00FF79E7" w:rsidRPr="006C6559">
        <w:rPr>
          <w:rStyle w:val="Refdenotaalpie"/>
          <w:szCs w:val="24"/>
        </w:rPr>
        <w:footnoteReference w:id="2"/>
      </w:r>
      <w:r w:rsidR="00D938CE" w:rsidRPr="006C6559">
        <w:rPr>
          <w:szCs w:val="24"/>
        </w:rPr>
        <w:t>.</w:t>
      </w:r>
      <w:r w:rsidR="004D21BF" w:rsidRPr="006C6559">
        <w:rPr>
          <w:szCs w:val="24"/>
        </w:rPr>
        <w:t xml:space="preserve"> </w:t>
      </w:r>
    </w:p>
    <w:p w:rsidR="00862B9F" w:rsidRDefault="00980CE3" w:rsidP="004B4DBA">
      <w:pPr>
        <w:autoSpaceDE w:val="0"/>
        <w:autoSpaceDN w:val="0"/>
        <w:adjustRightInd w:val="0"/>
        <w:spacing w:after="120" w:line="360" w:lineRule="auto"/>
        <w:rPr>
          <w:szCs w:val="24"/>
        </w:rPr>
      </w:pPr>
      <w:r w:rsidRPr="006C6559">
        <w:rPr>
          <w:szCs w:val="24"/>
        </w:rPr>
        <w:t xml:space="preserve">To define the content of the FI-TAP activities, analytical work was undertaken in the form of a </w:t>
      </w:r>
      <w:r w:rsidRPr="006C6559">
        <w:rPr>
          <w:b/>
          <w:szCs w:val="24"/>
        </w:rPr>
        <w:t>comprehensive study</w:t>
      </w:r>
      <w:r w:rsidR="0024062E" w:rsidRPr="006C6559">
        <w:rPr>
          <w:b/>
          <w:szCs w:val="24"/>
        </w:rPr>
        <w:t>,</w:t>
      </w:r>
      <w:r w:rsidRPr="006C6559">
        <w:rPr>
          <w:szCs w:val="24"/>
        </w:rPr>
        <w:t xml:space="preserve"> </w:t>
      </w:r>
      <w:r w:rsidR="0024062E" w:rsidRPr="006C6559">
        <w:rPr>
          <w:szCs w:val="24"/>
        </w:rPr>
        <w:t xml:space="preserve">carried out </w:t>
      </w:r>
      <w:r w:rsidR="00F669DB">
        <w:rPr>
          <w:szCs w:val="24"/>
        </w:rPr>
        <w:t>in cooperation with</w:t>
      </w:r>
      <w:r w:rsidR="0024062E" w:rsidRPr="006C6559">
        <w:rPr>
          <w:szCs w:val="24"/>
        </w:rPr>
        <w:t xml:space="preserve"> the EIB and sub-contracted to PriceWaterhouseCoopers (PwC) which </w:t>
      </w:r>
      <w:r w:rsidR="008E4524">
        <w:rPr>
          <w:szCs w:val="24"/>
        </w:rPr>
        <w:t xml:space="preserve">started </w:t>
      </w:r>
      <w:r w:rsidRPr="006C6559">
        <w:rPr>
          <w:szCs w:val="24"/>
        </w:rPr>
        <w:t>by a public survey</w:t>
      </w:r>
      <w:r w:rsidR="00A365C7">
        <w:rPr>
          <w:szCs w:val="24"/>
        </w:rPr>
        <w:t xml:space="preserve"> targeted at </w:t>
      </w:r>
      <w:r w:rsidR="00A365C7" w:rsidRPr="001F27A6">
        <w:rPr>
          <w:szCs w:val="24"/>
        </w:rPr>
        <w:t>Managing Authorities/Intermediate Bodies, public organisations involved in FIs, and fund managers</w:t>
      </w:r>
      <w:r w:rsidRPr="006C6559">
        <w:rPr>
          <w:szCs w:val="24"/>
        </w:rPr>
        <w:t>. Th</w:t>
      </w:r>
      <w:r w:rsidR="001F27A6">
        <w:rPr>
          <w:szCs w:val="24"/>
        </w:rPr>
        <w:t>is</w:t>
      </w:r>
      <w:r w:rsidRPr="006C6559">
        <w:rPr>
          <w:szCs w:val="24"/>
        </w:rPr>
        <w:t xml:space="preserve"> survey </w:t>
      </w:r>
      <w:r w:rsidR="005A59D5">
        <w:rPr>
          <w:szCs w:val="24"/>
        </w:rPr>
        <w:t>published in June</w:t>
      </w:r>
      <w:r w:rsidRPr="006C6559">
        <w:rPr>
          <w:szCs w:val="24"/>
        </w:rPr>
        <w:t xml:space="preserve"> 2013</w:t>
      </w:r>
      <w:r w:rsidR="00CC49DB" w:rsidRPr="006C6559">
        <w:rPr>
          <w:rStyle w:val="Refdenotaalpie"/>
          <w:szCs w:val="24"/>
        </w:rPr>
        <w:footnoteReference w:id="3"/>
      </w:r>
      <w:r w:rsidRPr="006C6559">
        <w:rPr>
          <w:szCs w:val="24"/>
        </w:rPr>
        <w:t xml:space="preserve"> indicated areas of needs for advisory services</w:t>
      </w:r>
      <w:r w:rsidR="00CC49DB" w:rsidRPr="006C6559">
        <w:rPr>
          <w:szCs w:val="24"/>
        </w:rPr>
        <w:t xml:space="preserve"> along the implementation cycle and the study (to be finalised </w:t>
      </w:r>
      <w:r w:rsidR="008E4524">
        <w:rPr>
          <w:szCs w:val="24"/>
        </w:rPr>
        <w:t>soon</w:t>
      </w:r>
      <w:r w:rsidR="00CC49DB" w:rsidRPr="006C6559">
        <w:rPr>
          <w:szCs w:val="24"/>
        </w:rPr>
        <w:t>) takes</w:t>
      </w:r>
      <w:r w:rsidRPr="006C6559">
        <w:rPr>
          <w:szCs w:val="24"/>
        </w:rPr>
        <w:t xml:space="preserve"> it further by prioritising them and proposing concrete actions/products. The focus of both</w:t>
      </w:r>
      <w:r w:rsidR="00A64114" w:rsidRPr="006C6559">
        <w:rPr>
          <w:szCs w:val="24"/>
        </w:rPr>
        <w:t xml:space="preserve"> </w:t>
      </w:r>
      <w:r w:rsidRPr="006C6559">
        <w:rPr>
          <w:szCs w:val="24"/>
        </w:rPr>
        <w:t xml:space="preserve">remained the Horizontal </w:t>
      </w:r>
      <w:r w:rsidR="00611060">
        <w:rPr>
          <w:szCs w:val="24"/>
        </w:rPr>
        <w:t>assistance</w:t>
      </w:r>
      <w:r w:rsidR="001F27A6">
        <w:rPr>
          <w:szCs w:val="24"/>
        </w:rPr>
        <w:t xml:space="preserve"> as</w:t>
      </w:r>
      <w:r w:rsidR="008B5DC8">
        <w:rPr>
          <w:szCs w:val="24"/>
        </w:rPr>
        <w:t xml:space="preserve"> it proved rather difficult for both respondents and consultants to give feedback on</w:t>
      </w:r>
      <w:r w:rsidRPr="006C6559">
        <w:rPr>
          <w:szCs w:val="24"/>
        </w:rPr>
        <w:t xml:space="preserve"> the </w:t>
      </w:r>
      <w:r w:rsidR="008E4524">
        <w:rPr>
          <w:szCs w:val="24"/>
        </w:rPr>
        <w:t xml:space="preserve">possible themes for calls of the </w:t>
      </w:r>
      <w:r w:rsidRPr="006C6559">
        <w:rPr>
          <w:szCs w:val="24"/>
        </w:rPr>
        <w:t>Multi-Region assistance.</w:t>
      </w:r>
    </w:p>
    <w:p w:rsidR="00980CE3" w:rsidRPr="006C6559" w:rsidRDefault="00862B9F" w:rsidP="004B4DBA">
      <w:pPr>
        <w:pStyle w:val="Text2"/>
        <w:keepNext/>
        <w:tabs>
          <w:tab w:val="left" w:pos="1701"/>
          <w:tab w:val="left" w:pos="1843"/>
        </w:tabs>
        <w:spacing w:after="120" w:line="360" w:lineRule="auto"/>
        <w:ind w:left="0"/>
      </w:pPr>
      <w:r>
        <w:rPr>
          <w:szCs w:val="24"/>
        </w:rPr>
        <w:t xml:space="preserve">To ensure that the FI-TAP performs well and that it responds to the needs of the stakeholders in a meaningful way, </w:t>
      </w:r>
      <w:r w:rsidR="00A320E2">
        <w:rPr>
          <w:szCs w:val="24"/>
        </w:rPr>
        <w:t xml:space="preserve">an </w:t>
      </w:r>
      <w:r w:rsidRPr="009C2314">
        <w:rPr>
          <w:b/>
          <w:szCs w:val="24"/>
        </w:rPr>
        <w:t>Advisory Board</w:t>
      </w:r>
      <w:r>
        <w:rPr>
          <w:b/>
          <w:szCs w:val="24"/>
        </w:rPr>
        <w:t xml:space="preserve"> will be established. It will be </w:t>
      </w:r>
      <w:r w:rsidRPr="006C6559">
        <w:rPr>
          <w:b/>
          <w:szCs w:val="24"/>
        </w:rPr>
        <w:t>a body involving external stakeholders who</w:t>
      </w:r>
      <w:r>
        <w:rPr>
          <w:b/>
          <w:szCs w:val="24"/>
        </w:rPr>
        <w:t xml:space="preserve"> will</w:t>
      </w:r>
      <w:r w:rsidRPr="006C6559">
        <w:rPr>
          <w:b/>
          <w:szCs w:val="24"/>
        </w:rPr>
        <w:t xml:space="preserve"> provide advice to the Commission with the view of ensuring the overall consistency of the FI-TAP</w:t>
      </w:r>
      <w:r w:rsidRPr="006C6559">
        <w:rPr>
          <w:szCs w:val="24"/>
        </w:rPr>
        <w:t xml:space="preserve">, including the link between the Horizontal and the Multi-region </w:t>
      </w:r>
      <w:r w:rsidR="00F669DB">
        <w:rPr>
          <w:szCs w:val="24"/>
        </w:rPr>
        <w:t>assistance</w:t>
      </w:r>
      <w:r w:rsidRPr="006C6559">
        <w:rPr>
          <w:szCs w:val="24"/>
        </w:rPr>
        <w:t xml:space="preserve">. The Advisory Board will be composed of representatives of the four DGs </w:t>
      </w:r>
      <w:r w:rsidR="00F669DB">
        <w:rPr>
          <w:szCs w:val="24"/>
        </w:rPr>
        <w:t>managing ESI Funds</w:t>
      </w:r>
      <w:r w:rsidRPr="006C6559">
        <w:rPr>
          <w:szCs w:val="24"/>
        </w:rPr>
        <w:t>, representatives of International Financial Institutions and experts from Member States nominated in their personal capacity</w:t>
      </w:r>
      <w:r>
        <w:rPr>
          <w:szCs w:val="24"/>
        </w:rPr>
        <w:t>.</w:t>
      </w:r>
      <w:r w:rsidRPr="006C6559">
        <w:rPr>
          <w:szCs w:val="24"/>
        </w:rPr>
        <w:t xml:space="preserve"> The Advisory Board will meet at least once a year.</w:t>
      </w:r>
    </w:p>
    <w:p w:rsidR="00430005" w:rsidRDefault="00430005" w:rsidP="00853733">
      <w:pPr>
        <w:spacing w:after="120" w:line="360" w:lineRule="auto"/>
        <w:rPr>
          <w:szCs w:val="24"/>
        </w:rPr>
      </w:pPr>
      <w:r w:rsidRPr="006C6559">
        <w:rPr>
          <w:szCs w:val="24"/>
        </w:rPr>
        <w:t>The above concept of the FI-TAP</w:t>
      </w:r>
      <w:r w:rsidR="00AB1C14">
        <w:rPr>
          <w:szCs w:val="24"/>
        </w:rPr>
        <w:t xml:space="preserve"> </w:t>
      </w:r>
      <w:r w:rsidR="00A320E2">
        <w:rPr>
          <w:szCs w:val="24"/>
        </w:rPr>
        <w:t xml:space="preserve">was </w:t>
      </w:r>
      <w:r w:rsidRPr="006C6559">
        <w:rPr>
          <w:szCs w:val="24"/>
        </w:rPr>
        <w:t xml:space="preserve">consulted with the EIB and other IFIs in 2013, e.g. in the stakeholders' meeting on 20 June, as well as with the Member States in the experts' group meeting on 23 July and in the COCOF meeting on 23 October. </w:t>
      </w:r>
    </w:p>
    <w:p w:rsidR="00491A27" w:rsidRPr="006C6559" w:rsidRDefault="005A128B" w:rsidP="007C2754">
      <w:pPr>
        <w:pStyle w:val="Ttulo1"/>
        <w:spacing w:before="120" w:after="120" w:line="360" w:lineRule="auto"/>
        <w:ind w:left="482" w:hanging="482"/>
        <w:rPr>
          <w:szCs w:val="24"/>
        </w:rPr>
      </w:pPr>
      <w:r w:rsidRPr="006C6559">
        <w:rPr>
          <w:szCs w:val="24"/>
        </w:rPr>
        <w:t xml:space="preserve">Rolling out </w:t>
      </w:r>
      <w:r w:rsidR="0018573B" w:rsidRPr="006C6559">
        <w:rPr>
          <w:szCs w:val="24"/>
        </w:rPr>
        <w:t>the FI-TAP</w:t>
      </w:r>
      <w:r w:rsidR="00EC3AB9">
        <w:rPr>
          <w:szCs w:val="24"/>
        </w:rPr>
        <w:t xml:space="preserve"> activities</w:t>
      </w:r>
    </w:p>
    <w:p w:rsidR="006A0F2A" w:rsidRPr="006C6559" w:rsidRDefault="006A0F2A" w:rsidP="007C2754">
      <w:pPr>
        <w:pStyle w:val="Ttulo2"/>
        <w:spacing w:before="120" w:after="120" w:line="360" w:lineRule="auto"/>
        <w:ind w:hanging="601"/>
        <w:rPr>
          <w:szCs w:val="24"/>
        </w:rPr>
      </w:pPr>
      <w:r w:rsidRPr="006C6559">
        <w:rPr>
          <w:szCs w:val="24"/>
        </w:rPr>
        <w:t>Horizontal FI-TAP</w:t>
      </w:r>
      <w:r>
        <w:rPr>
          <w:szCs w:val="24"/>
        </w:rPr>
        <w:t xml:space="preserve"> delivered by the EIB</w:t>
      </w:r>
    </w:p>
    <w:p w:rsidR="0059188B" w:rsidRPr="006C6559" w:rsidRDefault="0059188B" w:rsidP="00853733">
      <w:pPr>
        <w:spacing w:after="120" w:line="360" w:lineRule="auto"/>
        <w:rPr>
          <w:szCs w:val="24"/>
        </w:rPr>
      </w:pPr>
      <w:r w:rsidRPr="006C6559">
        <w:rPr>
          <w:szCs w:val="24"/>
        </w:rPr>
        <w:t xml:space="preserve">To send a political signal about the availability of technical advisory services on ESIF-supported financial instruments and demonstrate commitment of the </w:t>
      </w:r>
      <w:r w:rsidRPr="006550D6">
        <w:rPr>
          <w:b/>
          <w:szCs w:val="24"/>
        </w:rPr>
        <w:t>Commission and the EIB</w:t>
      </w:r>
      <w:r w:rsidRPr="006C6559">
        <w:rPr>
          <w:szCs w:val="24"/>
        </w:rPr>
        <w:t xml:space="preserve">, a </w:t>
      </w:r>
      <w:r w:rsidRPr="006550D6">
        <w:rPr>
          <w:b/>
          <w:szCs w:val="24"/>
        </w:rPr>
        <w:t xml:space="preserve">Memorandum of Understanding (MoU) </w:t>
      </w:r>
      <w:r w:rsidR="009C2314" w:rsidRPr="00EC3AB9">
        <w:rPr>
          <w:szCs w:val="24"/>
        </w:rPr>
        <w:t xml:space="preserve">between the two institutions </w:t>
      </w:r>
      <w:r w:rsidR="00D47935" w:rsidRPr="00EC3AB9">
        <w:rPr>
          <w:szCs w:val="24"/>
        </w:rPr>
        <w:t xml:space="preserve">will </w:t>
      </w:r>
      <w:r w:rsidRPr="00EC3AB9">
        <w:rPr>
          <w:szCs w:val="24"/>
        </w:rPr>
        <w:t>be signed</w:t>
      </w:r>
      <w:r w:rsidR="009C2314" w:rsidRPr="00EC3AB9">
        <w:rPr>
          <w:szCs w:val="24"/>
        </w:rPr>
        <w:t xml:space="preserve"> in May</w:t>
      </w:r>
      <w:r w:rsidRPr="00EC3AB9">
        <w:rPr>
          <w:szCs w:val="24"/>
        </w:rPr>
        <w:t>.</w:t>
      </w:r>
      <w:r w:rsidR="009C2314">
        <w:rPr>
          <w:szCs w:val="24"/>
        </w:rPr>
        <w:t xml:space="preserve"> The MoU will be signed on behalf of the Commission by </w:t>
      </w:r>
      <w:r w:rsidR="009C2314" w:rsidRPr="006C6559">
        <w:rPr>
          <w:szCs w:val="24"/>
        </w:rPr>
        <w:t>Commissioners Hahn, Ciolo</w:t>
      </w:r>
      <w:r w:rsidR="009C2314">
        <w:rPr>
          <w:szCs w:val="24"/>
        </w:rPr>
        <w:t>ş</w:t>
      </w:r>
      <w:r w:rsidR="009C2314" w:rsidRPr="006C6559">
        <w:rPr>
          <w:szCs w:val="24"/>
        </w:rPr>
        <w:t>, Andor and Damanaki</w:t>
      </w:r>
      <w:r w:rsidR="009C2314">
        <w:rPr>
          <w:szCs w:val="24"/>
        </w:rPr>
        <w:t>.</w:t>
      </w:r>
    </w:p>
    <w:p w:rsidR="003C3573" w:rsidRDefault="0038798F" w:rsidP="00853733">
      <w:pPr>
        <w:spacing w:after="120" w:line="360" w:lineRule="auto"/>
        <w:rPr>
          <w:szCs w:val="24"/>
        </w:rPr>
      </w:pPr>
      <w:r>
        <w:rPr>
          <w:szCs w:val="24"/>
        </w:rPr>
        <w:t xml:space="preserve">Following </w:t>
      </w:r>
      <w:r w:rsidR="003C3573">
        <w:rPr>
          <w:szCs w:val="24"/>
        </w:rPr>
        <w:t xml:space="preserve">the signature of </w:t>
      </w:r>
      <w:r>
        <w:rPr>
          <w:szCs w:val="24"/>
        </w:rPr>
        <w:t xml:space="preserve">the </w:t>
      </w:r>
      <w:r w:rsidR="003C3573">
        <w:rPr>
          <w:szCs w:val="24"/>
        </w:rPr>
        <w:t>F</w:t>
      </w:r>
      <w:r w:rsidR="00584BE3">
        <w:rPr>
          <w:szCs w:val="24"/>
        </w:rPr>
        <w:t xml:space="preserve">inancial and </w:t>
      </w:r>
      <w:r w:rsidR="003C3573">
        <w:rPr>
          <w:szCs w:val="24"/>
        </w:rPr>
        <w:t>A</w:t>
      </w:r>
      <w:r w:rsidR="00584BE3">
        <w:rPr>
          <w:szCs w:val="24"/>
        </w:rPr>
        <w:t xml:space="preserve">dministrative </w:t>
      </w:r>
      <w:r w:rsidR="003C3573">
        <w:rPr>
          <w:szCs w:val="24"/>
        </w:rPr>
        <w:t>F</w:t>
      </w:r>
      <w:r w:rsidR="00584BE3">
        <w:rPr>
          <w:szCs w:val="24"/>
        </w:rPr>
        <w:t xml:space="preserve">ramework </w:t>
      </w:r>
      <w:r w:rsidR="003C3573">
        <w:rPr>
          <w:szCs w:val="24"/>
        </w:rPr>
        <w:t>A</w:t>
      </w:r>
      <w:r w:rsidR="00584BE3">
        <w:rPr>
          <w:szCs w:val="24"/>
        </w:rPr>
        <w:t>greement</w:t>
      </w:r>
      <w:r>
        <w:rPr>
          <w:szCs w:val="24"/>
        </w:rPr>
        <w:t xml:space="preserve"> between the two institutions</w:t>
      </w:r>
      <w:r w:rsidR="003C3573">
        <w:rPr>
          <w:szCs w:val="24"/>
        </w:rPr>
        <w:t xml:space="preserve">, the Commission and the EIB will enter into contractual negotiations </w:t>
      </w:r>
      <w:r>
        <w:rPr>
          <w:szCs w:val="24"/>
        </w:rPr>
        <w:t xml:space="preserve">on the horizontal strand of the FI-TAP </w:t>
      </w:r>
      <w:r w:rsidR="003C3573">
        <w:rPr>
          <w:szCs w:val="24"/>
        </w:rPr>
        <w:t>which are expected to be concluded by the end of June.</w:t>
      </w:r>
      <w:r>
        <w:rPr>
          <w:szCs w:val="24"/>
        </w:rPr>
        <w:t xml:space="preserve"> </w:t>
      </w:r>
      <w:r w:rsidR="003C3573">
        <w:rPr>
          <w:szCs w:val="24"/>
        </w:rPr>
        <w:t xml:space="preserve">Following a preparatory period, the first FI-TAP products and services will </w:t>
      </w:r>
      <w:r w:rsidR="00584BE3">
        <w:rPr>
          <w:szCs w:val="24"/>
        </w:rPr>
        <w:t xml:space="preserve">start to </w:t>
      </w:r>
      <w:r w:rsidR="003C3573">
        <w:rPr>
          <w:szCs w:val="24"/>
        </w:rPr>
        <w:t>be delivered in September.</w:t>
      </w:r>
      <w:r w:rsidR="00AD2461">
        <w:rPr>
          <w:szCs w:val="24"/>
        </w:rPr>
        <w:t xml:space="preserve"> </w:t>
      </w:r>
    </w:p>
    <w:p w:rsidR="003A7CE2" w:rsidRPr="006C6559" w:rsidRDefault="005A128B" w:rsidP="00853733">
      <w:pPr>
        <w:pStyle w:val="Ttulo2"/>
        <w:spacing w:before="240" w:line="360" w:lineRule="auto"/>
        <w:ind w:hanging="601"/>
        <w:rPr>
          <w:szCs w:val="24"/>
        </w:rPr>
      </w:pPr>
      <w:r w:rsidRPr="006C6559">
        <w:rPr>
          <w:szCs w:val="24"/>
        </w:rPr>
        <w:t>Multi-region FI-TAP</w:t>
      </w:r>
      <w:r w:rsidR="006A0F2A">
        <w:rPr>
          <w:szCs w:val="24"/>
        </w:rPr>
        <w:t xml:space="preserve"> calls</w:t>
      </w:r>
    </w:p>
    <w:p w:rsidR="00F177AB" w:rsidRDefault="008B5DC8" w:rsidP="00853733">
      <w:pPr>
        <w:spacing w:after="120" w:line="360" w:lineRule="auto"/>
        <w:rPr>
          <w:szCs w:val="24"/>
        </w:rPr>
      </w:pPr>
      <w:r>
        <w:rPr>
          <w:szCs w:val="24"/>
        </w:rPr>
        <w:t>The</w:t>
      </w:r>
      <w:r w:rsidR="007D29BC" w:rsidRPr="006C6559">
        <w:rPr>
          <w:szCs w:val="24"/>
        </w:rPr>
        <w:t xml:space="preserve"> m</w:t>
      </w:r>
      <w:r w:rsidR="0059188B" w:rsidRPr="006C6559">
        <w:rPr>
          <w:szCs w:val="24"/>
        </w:rPr>
        <w:t xml:space="preserve">ulti-region </w:t>
      </w:r>
      <w:r w:rsidR="00584BE3">
        <w:rPr>
          <w:szCs w:val="24"/>
        </w:rPr>
        <w:t xml:space="preserve">strand of the </w:t>
      </w:r>
      <w:r w:rsidR="0059188B" w:rsidRPr="006C6559">
        <w:rPr>
          <w:szCs w:val="24"/>
        </w:rPr>
        <w:t xml:space="preserve">FI-TAP will be implemented via </w:t>
      </w:r>
      <w:r w:rsidR="0059188B" w:rsidRPr="006C6559">
        <w:rPr>
          <w:b/>
          <w:szCs w:val="24"/>
        </w:rPr>
        <w:t>open calls for proposals</w:t>
      </w:r>
      <w:r w:rsidR="0009464D" w:rsidRPr="006C6559">
        <w:rPr>
          <w:szCs w:val="24"/>
        </w:rPr>
        <w:t>, the first</w:t>
      </w:r>
      <w:r w:rsidR="007D29BC" w:rsidRPr="006C6559">
        <w:rPr>
          <w:szCs w:val="24"/>
        </w:rPr>
        <w:t xml:space="preserve"> </w:t>
      </w:r>
      <w:r w:rsidR="0009464D" w:rsidRPr="006C6559">
        <w:rPr>
          <w:szCs w:val="24"/>
        </w:rPr>
        <w:t xml:space="preserve">to be published in </w:t>
      </w:r>
      <w:r w:rsidR="003F0D3E">
        <w:rPr>
          <w:szCs w:val="24"/>
        </w:rPr>
        <w:t>autumn</w:t>
      </w:r>
      <w:r w:rsidR="00F177AB">
        <w:rPr>
          <w:szCs w:val="24"/>
        </w:rPr>
        <w:t xml:space="preserve"> </w:t>
      </w:r>
      <w:r w:rsidR="0009464D" w:rsidRPr="006C6559">
        <w:rPr>
          <w:szCs w:val="24"/>
        </w:rPr>
        <w:t>2014.</w:t>
      </w:r>
      <w:r w:rsidR="00E326EF">
        <w:rPr>
          <w:szCs w:val="24"/>
        </w:rPr>
        <w:t xml:space="preserve"> </w:t>
      </w:r>
      <w:r w:rsidR="007D29BC" w:rsidRPr="006C6559">
        <w:rPr>
          <w:szCs w:val="24"/>
        </w:rPr>
        <w:t xml:space="preserve">The calls will target </w:t>
      </w:r>
      <w:r w:rsidR="0009464D" w:rsidRPr="006C6559">
        <w:rPr>
          <w:szCs w:val="24"/>
        </w:rPr>
        <w:t xml:space="preserve">projects </w:t>
      </w:r>
      <w:r w:rsidR="007D29BC" w:rsidRPr="006C6559">
        <w:rPr>
          <w:szCs w:val="24"/>
        </w:rPr>
        <w:t xml:space="preserve">of at least two </w:t>
      </w:r>
      <w:r w:rsidR="007D29BC" w:rsidRPr="006C6559">
        <w:rPr>
          <w:b/>
          <w:szCs w:val="24"/>
        </w:rPr>
        <w:t>Managing Authorities</w:t>
      </w:r>
      <w:r w:rsidR="007D29BC" w:rsidRPr="006C6559">
        <w:rPr>
          <w:szCs w:val="24"/>
        </w:rPr>
        <w:t xml:space="preserve"> from two different Member States and 1) </w:t>
      </w:r>
      <w:r w:rsidR="007D29BC" w:rsidRPr="006550D6">
        <w:rPr>
          <w:b/>
          <w:szCs w:val="24"/>
        </w:rPr>
        <w:t>at least one IFI, or alternatively 2) at least two NFIs</w:t>
      </w:r>
      <w:r w:rsidR="007D29BC" w:rsidRPr="006C6559">
        <w:rPr>
          <w:szCs w:val="24"/>
        </w:rPr>
        <w:t xml:space="preserve"> from two different Member States</w:t>
      </w:r>
      <w:r w:rsidR="0009464D" w:rsidRPr="006C6559">
        <w:rPr>
          <w:szCs w:val="24"/>
        </w:rPr>
        <w:t xml:space="preserve"> (eligibility criteria). </w:t>
      </w:r>
    </w:p>
    <w:p w:rsidR="007D29BC" w:rsidRPr="006C6559" w:rsidRDefault="0009464D" w:rsidP="00853733">
      <w:pPr>
        <w:spacing w:after="120" w:line="360" w:lineRule="auto"/>
        <w:rPr>
          <w:szCs w:val="24"/>
        </w:rPr>
      </w:pPr>
      <w:r w:rsidRPr="006C6559">
        <w:rPr>
          <w:szCs w:val="24"/>
        </w:rPr>
        <w:t>The objective should be</w:t>
      </w:r>
      <w:r w:rsidR="001E5501" w:rsidRPr="006C6559">
        <w:rPr>
          <w:szCs w:val="24"/>
        </w:rPr>
        <w:t xml:space="preserve"> gaining the</w:t>
      </w:r>
      <w:r w:rsidRPr="006C6559">
        <w:rPr>
          <w:szCs w:val="24"/>
        </w:rPr>
        <w:t xml:space="preserve"> technical expertise to establish financial instruments addressing challenges common to the participating Managing Authorities. Under </w:t>
      </w:r>
      <w:r w:rsidR="008B5DC8">
        <w:rPr>
          <w:szCs w:val="24"/>
        </w:rPr>
        <w:t xml:space="preserve">the </w:t>
      </w:r>
      <w:r w:rsidRPr="006C6559">
        <w:rPr>
          <w:szCs w:val="24"/>
        </w:rPr>
        <w:t>award criteria, consortia which include further relevant partners, e.g. academia or other relevant insti</w:t>
      </w:r>
      <w:r w:rsidR="001E5501" w:rsidRPr="006C6559">
        <w:rPr>
          <w:szCs w:val="24"/>
        </w:rPr>
        <w:t>tutions with public mission would</w:t>
      </w:r>
      <w:r w:rsidRPr="006C6559">
        <w:rPr>
          <w:szCs w:val="24"/>
        </w:rPr>
        <w:t xml:space="preserve"> be preferred. The size of the projects would be up to € 2.5 million, e.g. with REGIO's </w:t>
      </w:r>
      <w:r w:rsidR="00034DEA">
        <w:rPr>
          <w:szCs w:val="24"/>
        </w:rPr>
        <w:t>planned</w:t>
      </w:r>
      <w:r w:rsidR="00034DEA" w:rsidRPr="006C6559">
        <w:rPr>
          <w:szCs w:val="24"/>
        </w:rPr>
        <w:t xml:space="preserve"> </w:t>
      </w:r>
      <w:r w:rsidR="0038798F">
        <w:rPr>
          <w:szCs w:val="24"/>
        </w:rPr>
        <w:t>contribution</w:t>
      </w:r>
      <w:r w:rsidR="0038798F" w:rsidRPr="006C6559">
        <w:rPr>
          <w:szCs w:val="24"/>
        </w:rPr>
        <w:t xml:space="preserve"> </w:t>
      </w:r>
      <w:r w:rsidR="00584BE3">
        <w:rPr>
          <w:szCs w:val="24"/>
        </w:rPr>
        <w:t xml:space="preserve">up to </w:t>
      </w:r>
      <w:r w:rsidRPr="006C6559">
        <w:rPr>
          <w:szCs w:val="24"/>
        </w:rPr>
        <w:t>10 projects could be co-financed in 2014-2020. Finally, the co-financing rate would be 95% since it is a very new and rather challenging initiative.</w:t>
      </w:r>
    </w:p>
    <w:p w:rsidR="0009464D" w:rsidRPr="0014723C" w:rsidRDefault="0009464D" w:rsidP="00853733">
      <w:pPr>
        <w:spacing w:after="120" w:line="360" w:lineRule="auto"/>
        <w:rPr>
          <w:szCs w:val="24"/>
        </w:rPr>
      </w:pPr>
      <w:r w:rsidRPr="0014723C">
        <w:rPr>
          <w:szCs w:val="24"/>
        </w:rPr>
        <w:t xml:space="preserve">In </w:t>
      </w:r>
      <w:r w:rsidR="00584BE3" w:rsidRPr="0014723C">
        <w:rPr>
          <w:szCs w:val="24"/>
        </w:rPr>
        <w:t xml:space="preserve">the </w:t>
      </w:r>
      <w:r w:rsidRPr="0014723C">
        <w:rPr>
          <w:szCs w:val="24"/>
        </w:rPr>
        <w:t xml:space="preserve">next step it </w:t>
      </w:r>
      <w:r w:rsidR="006550D6" w:rsidRPr="0014723C">
        <w:rPr>
          <w:szCs w:val="24"/>
        </w:rPr>
        <w:t>will be</w:t>
      </w:r>
      <w:r w:rsidRPr="0014723C">
        <w:rPr>
          <w:szCs w:val="24"/>
        </w:rPr>
        <w:t xml:space="preserve"> crucial to define the themes of the</w:t>
      </w:r>
      <w:r w:rsidR="0037187C" w:rsidRPr="0014723C">
        <w:rPr>
          <w:szCs w:val="24"/>
        </w:rPr>
        <w:t xml:space="preserve"> first</w:t>
      </w:r>
      <w:r w:rsidRPr="0014723C">
        <w:rPr>
          <w:szCs w:val="24"/>
        </w:rPr>
        <w:t xml:space="preserve"> call. </w:t>
      </w:r>
      <w:r w:rsidR="00F177AB" w:rsidRPr="0014723C">
        <w:rPr>
          <w:szCs w:val="24"/>
        </w:rPr>
        <w:t>The</w:t>
      </w:r>
      <w:r w:rsidRPr="0014723C">
        <w:rPr>
          <w:szCs w:val="24"/>
        </w:rPr>
        <w:t xml:space="preserve"> </w:t>
      </w:r>
      <w:r w:rsidRPr="0014723C">
        <w:rPr>
          <w:b/>
          <w:szCs w:val="24"/>
        </w:rPr>
        <w:t xml:space="preserve">FI-TAP Advisory Board could be consulted on </w:t>
      </w:r>
      <w:r w:rsidR="0037187C" w:rsidRPr="0014723C">
        <w:rPr>
          <w:b/>
          <w:szCs w:val="24"/>
        </w:rPr>
        <w:t>the</w:t>
      </w:r>
      <w:r w:rsidRPr="0014723C">
        <w:rPr>
          <w:b/>
          <w:szCs w:val="24"/>
        </w:rPr>
        <w:t xml:space="preserve"> themes</w:t>
      </w:r>
      <w:r w:rsidRPr="0014723C">
        <w:rPr>
          <w:szCs w:val="24"/>
        </w:rPr>
        <w:t>. To allow for a timely consultation, the first meeting of the Advisory Board should ideally take place in Ju</w:t>
      </w:r>
      <w:r w:rsidR="00D47935" w:rsidRPr="0014723C">
        <w:rPr>
          <w:szCs w:val="24"/>
        </w:rPr>
        <w:t>ly</w:t>
      </w:r>
      <w:r w:rsidRPr="0014723C">
        <w:rPr>
          <w:szCs w:val="24"/>
        </w:rPr>
        <w:t>.</w:t>
      </w:r>
    </w:p>
    <w:p w:rsidR="0009464D" w:rsidRPr="0014723C" w:rsidRDefault="008B5DC8" w:rsidP="00853733">
      <w:pPr>
        <w:spacing w:after="120" w:line="360" w:lineRule="auto"/>
        <w:rPr>
          <w:szCs w:val="24"/>
        </w:rPr>
      </w:pPr>
      <w:r w:rsidRPr="0014723C">
        <w:rPr>
          <w:szCs w:val="24"/>
        </w:rPr>
        <w:t xml:space="preserve">An </w:t>
      </w:r>
      <w:r w:rsidR="0009464D" w:rsidRPr="0014723C">
        <w:rPr>
          <w:b/>
          <w:szCs w:val="24"/>
        </w:rPr>
        <w:t>information day</w:t>
      </w:r>
      <w:r w:rsidR="0009464D" w:rsidRPr="0014723C">
        <w:rPr>
          <w:szCs w:val="24"/>
        </w:rPr>
        <w:t xml:space="preserve"> about the call </w:t>
      </w:r>
      <w:r w:rsidR="00F177AB" w:rsidRPr="0014723C">
        <w:rPr>
          <w:szCs w:val="24"/>
        </w:rPr>
        <w:t>is foreseen</w:t>
      </w:r>
      <w:r w:rsidR="0009464D" w:rsidRPr="0014723C">
        <w:rPr>
          <w:szCs w:val="24"/>
        </w:rPr>
        <w:t xml:space="preserve"> </w:t>
      </w:r>
      <w:r w:rsidR="00034DEA" w:rsidRPr="0014723C">
        <w:rPr>
          <w:szCs w:val="24"/>
        </w:rPr>
        <w:t>after its publication in November 2014</w:t>
      </w:r>
      <w:r w:rsidRPr="0014723C">
        <w:rPr>
          <w:szCs w:val="24"/>
        </w:rPr>
        <w:t>.</w:t>
      </w:r>
    </w:p>
    <w:p w:rsidR="007D29BC" w:rsidRPr="0014723C" w:rsidRDefault="0009464D" w:rsidP="00853733">
      <w:pPr>
        <w:spacing w:after="120" w:line="360" w:lineRule="auto"/>
        <w:rPr>
          <w:szCs w:val="24"/>
        </w:rPr>
      </w:pPr>
      <w:r w:rsidRPr="0014723C">
        <w:rPr>
          <w:szCs w:val="24"/>
        </w:rPr>
        <w:t xml:space="preserve">Given the novelty of the approach, the </w:t>
      </w:r>
      <w:r w:rsidR="001E5501" w:rsidRPr="0014723C">
        <w:rPr>
          <w:szCs w:val="24"/>
        </w:rPr>
        <w:t>applicants</w:t>
      </w:r>
      <w:r w:rsidRPr="0014723C">
        <w:rPr>
          <w:szCs w:val="24"/>
        </w:rPr>
        <w:t xml:space="preserve"> could have </w:t>
      </w:r>
      <w:r w:rsidR="006A0F2A" w:rsidRPr="0014723C">
        <w:rPr>
          <w:szCs w:val="24"/>
        </w:rPr>
        <w:t>4 months</w:t>
      </w:r>
      <w:r w:rsidRPr="0014723C">
        <w:rPr>
          <w:szCs w:val="24"/>
        </w:rPr>
        <w:t xml:space="preserve"> for </w:t>
      </w:r>
      <w:r w:rsidR="00D74E04" w:rsidRPr="0014723C">
        <w:rPr>
          <w:szCs w:val="24"/>
        </w:rPr>
        <w:t xml:space="preserve">the preparation of their projects and </w:t>
      </w:r>
      <w:r w:rsidR="001E5501" w:rsidRPr="0014723C">
        <w:rPr>
          <w:szCs w:val="24"/>
        </w:rPr>
        <w:t xml:space="preserve">the </w:t>
      </w:r>
      <w:r w:rsidRPr="0014723C">
        <w:rPr>
          <w:szCs w:val="24"/>
        </w:rPr>
        <w:t>submission</w:t>
      </w:r>
      <w:r w:rsidR="001E5501" w:rsidRPr="0014723C">
        <w:rPr>
          <w:szCs w:val="24"/>
        </w:rPr>
        <w:t xml:space="preserve"> of their proposals</w:t>
      </w:r>
      <w:r w:rsidRPr="0014723C">
        <w:rPr>
          <w:szCs w:val="24"/>
        </w:rPr>
        <w:t xml:space="preserve">. </w:t>
      </w:r>
      <w:r w:rsidR="00F177AB" w:rsidRPr="0014723C">
        <w:rPr>
          <w:szCs w:val="24"/>
        </w:rPr>
        <w:t xml:space="preserve">The Commission will </w:t>
      </w:r>
      <w:r w:rsidRPr="0014723C">
        <w:rPr>
          <w:szCs w:val="24"/>
        </w:rPr>
        <w:t>ensure that</w:t>
      </w:r>
      <w:r w:rsidR="00F177AB" w:rsidRPr="0014723C">
        <w:rPr>
          <w:szCs w:val="24"/>
        </w:rPr>
        <w:t xml:space="preserve"> in line with the rules</w:t>
      </w:r>
      <w:r w:rsidR="00EC3AB9" w:rsidRPr="0014723C">
        <w:rPr>
          <w:szCs w:val="24"/>
        </w:rPr>
        <w:t xml:space="preserve"> in force</w:t>
      </w:r>
      <w:r w:rsidR="00F177AB" w:rsidRPr="0014723C">
        <w:rPr>
          <w:szCs w:val="24"/>
        </w:rPr>
        <w:t>,</w:t>
      </w:r>
      <w:r w:rsidRPr="0014723C">
        <w:rPr>
          <w:szCs w:val="24"/>
        </w:rPr>
        <w:t xml:space="preserve"> the</w:t>
      </w:r>
      <w:r w:rsidR="00482174" w:rsidRPr="0014723C">
        <w:rPr>
          <w:szCs w:val="24"/>
        </w:rPr>
        <w:t xml:space="preserve"> applicants are informed about the outcome </w:t>
      </w:r>
      <w:r w:rsidR="00E05AE5" w:rsidRPr="0014723C">
        <w:rPr>
          <w:szCs w:val="24"/>
        </w:rPr>
        <w:t xml:space="preserve">of the call </w:t>
      </w:r>
      <w:r w:rsidRPr="0014723C">
        <w:rPr>
          <w:szCs w:val="24"/>
        </w:rPr>
        <w:t>within 6 months</w:t>
      </w:r>
      <w:r w:rsidR="00E05AE5" w:rsidRPr="0014723C">
        <w:rPr>
          <w:szCs w:val="24"/>
        </w:rPr>
        <w:t xml:space="preserve"> after the submission deadline</w:t>
      </w:r>
      <w:r w:rsidRPr="0014723C">
        <w:rPr>
          <w:szCs w:val="24"/>
        </w:rPr>
        <w:t xml:space="preserve"> </w:t>
      </w:r>
      <w:r w:rsidR="00482174" w:rsidRPr="0014723C">
        <w:rPr>
          <w:szCs w:val="24"/>
        </w:rPr>
        <w:t xml:space="preserve">and the grant agreements are signed </w:t>
      </w:r>
      <w:r w:rsidR="00E05AE5" w:rsidRPr="0014723C">
        <w:rPr>
          <w:szCs w:val="24"/>
        </w:rPr>
        <w:t>no later than 3</w:t>
      </w:r>
      <w:r w:rsidR="00482174" w:rsidRPr="0014723C">
        <w:rPr>
          <w:szCs w:val="24"/>
        </w:rPr>
        <w:t xml:space="preserve"> months </w:t>
      </w:r>
      <w:r w:rsidRPr="0014723C">
        <w:rPr>
          <w:szCs w:val="24"/>
        </w:rPr>
        <w:t>after</w:t>
      </w:r>
      <w:r w:rsidR="00E05AE5" w:rsidRPr="0014723C">
        <w:rPr>
          <w:szCs w:val="24"/>
        </w:rPr>
        <w:t xml:space="preserve"> they were informed about the outcome of the call</w:t>
      </w:r>
      <w:r w:rsidRPr="0014723C">
        <w:rPr>
          <w:szCs w:val="24"/>
        </w:rPr>
        <w:t>.</w:t>
      </w:r>
    </w:p>
    <w:p w:rsidR="00CE7B0B" w:rsidRPr="0014723C" w:rsidRDefault="00F177AB" w:rsidP="00853733">
      <w:pPr>
        <w:spacing w:after="120" w:line="360" w:lineRule="auto"/>
        <w:rPr>
          <w:szCs w:val="24"/>
        </w:rPr>
      </w:pPr>
      <w:r w:rsidRPr="0014723C">
        <w:rPr>
          <w:szCs w:val="24"/>
        </w:rPr>
        <w:t>Taking the above into account, the tentative timing of the call could be as follows:</w:t>
      </w:r>
    </w:p>
    <w:tbl>
      <w:tblPr>
        <w:tblStyle w:val="Tablaconcuadrcula"/>
        <w:tblW w:w="0" w:type="auto"/>
        <w:jc w:val="center"/>
        <w:tblInd w:w="-3448" w:type="dxa"/>
        <w:tblLook w:val="04A0" w:firstRow="1" w:lastRow="0" w:firstColumn="1" w:lastColumn="0" w:noHBand="0" w:noVBand="1"/>
      </w:tblPr>
      <w:tblGrid>
        <w:gridCol w:w="2817"/>
        <w:gridCol w:w="2898"/>
      </w:tblGrid>
      <w:tr w:rsidR="00F177AB" w:rsidRPr="0014723C" w:rsidTr="00822058">
        <w:trPr>
          <w:trHeight w:val="152"/>
          <w:jc w:val="center"/>
        </w:trPr>
        <w:tc>
          <w:tcPr>
            <w:tcW w:w="2817" w:type="dxa"/>
            <w:shd w:val="clear" w:color="auto" w:fill="F2F2F2" w:themeFill="background1" w:themeFillShade="F2"/>
            <w:vAlign w:val="center"/>
          </w:tcPr>
          <w:p w:rsidR="00F177AB" w:rsidRPr="0014723C" w:rsidRDefault="00F177AB" w:rsidP="00853733">
            <w:pPr>
              <w:pStyle w:val="Text1"/>
              <w:spacing w:after="0" w:line="360" w:lineRule="auto"/>
              <w:ind w:left="0"/>
              <w:jc w:val="center"/>
              <w:rPr>
                <w:b/>
                <w:sz w:val="20"/>
              </w:rPr>
            </w:pPr>
            <w:r w:rsidRPr="0014723C">
              <w:rPr>
                <w:b/>
                <w:sz w:val="20"/>
              </w:rPr>
              <w:t>Timing – By when</w:t>
            </w:r>
          </w:p>
        </w:tc>
        <w:tc>
          <w:tcPr>
            <w:tcW w:w="2898" w:type="dxa"/>
            <w:shd w:val="clear" w:color="auto" w:fill="F2F2F2" w:themeFill="background1" w:themeFillShade="F2"/>
            <w:vAlign w:val="center"/>
          </w:tcPr>
          <w:p w:rsidR="00F177AB" w:rsidRPr="0014723C" w:rsidRDefault="00F177AB" w:rsidP="00853733">
            <w:pPr>
              <w:pStyle w:val="Text1"/>
              <w:spacing w:after="0" w:line="360" w:lineRule="auto"/>
              <w:ind w:left="0"/>
              <w:jc w:val="center"/>
              <w:rPr>
                <w:b/>
                <w:sz w:val="20"/>
              </w:rPr>
            </w:pPr>
            <w:r w:rsidRPr="0014723C">
              <w:rPr>
                <w:b/>
                <w:sz w:val="20"/>
              </w:rPr>
              <w:t>Multi-region FI-TAP</w:t>
            </w:r>
          </w:p>
        </w:tc>
      </w:tr>
      <w:tr w:rsidR="00F177AB" w:rsidRPr="0014723C" w:rsidTr="00822058">
        <w:trPr>
          <w:jc w:val="center"/>
        </w:trPr>
        <w:tc>
          <w:tcPr>
            <w:tcW w:w="2817" w:type="dxa"/>
            <w:vAlign w:val="center"/>
          </w:tcPr>
          <w:p w:rsidR="00F177AB" w:rsidRPr="0014723C" w:rsidRDefault="00F177AB" w:rsidP="004B4DBA">
            <w:pPr>
              <w:pStyle w:val="Text1"/>
              <w:spacing w:after="0" w:line="360" w:lineRule="auto"/>
              <w:ind w:left="0"/>
              <w:jc w:val="center"/>
              <w:rPr>
                <w:sz w:val="20"/>
              </w:rPr>
            </w:pPr>
            <w:r w:rsidRPr="0014723C">
              <w:rPr>
                <w:sz w:val="20"/>
              </w:rPr>
              <w:t>Mid-July 2014</w:t>
            </w:r>
          </w:p>
        </w:tc>
        <w:tc>
          <w:tcPr>
            <w:tcW w:w="2898" w:type="dxa"/>
            <w:vAlign w:val="center"/>
          </w:tcPr>
          <w:p w:rsidR="00F177AB" w:rsidRPr="0014723C" w:rsidRDefault="00F177AB" w:rsidP="00853733">
            <w:pPr>
              <w:pStyle w:val="Text1"/>
              <w:spacing w:after="0" w:line="360" w:lineRule="auto"/>
              <w:ind w:left="0"/>
              <w:jc w:val="center"/>
              <w:rPr>
                <w:sz w:val="20"/>
              </w:rPr>
            </w:pPr>
            <w:r w:rsidRPr="0014723C">
              <w:rPr>
                <w:sz w:val="20"/>
              </w:rPr>
              <w:t>Consultation of the Advisory Board on the call themes</w:t>
            </w:r>
          </w:p>
        </w:tc>
      </w:tr>
      <w:tr w:rsidR="00F177AB" w:rsidRPr="0014723C" w:rsidTr="00822058">
        <w:trPr>
          <w:jc w:val="center"/>
        </w:trPr>
        <w:tc>
          <w:tcPr>
            <w:tcW w:w="2817" w:type="dxa"/>
            <w:vAlign w:val="center"/>
          </w:tcPr>
          <w:p w:rsidR="00F177AB" w:rsidRPr="0014723C" w:rsidRDefault="00F177AB" w:rsidP="004B4DBA">
            <w:pPr>
              <w:pStyle w:val="Text1"/>
              <w:spacing w:after="0" w:line="360" w:lineRule="auto"/>
              <w:ind w:left="0"/>
              <w:jc w:val="center"/>
              <w:rPr>
                <w:sz w:val="20"/>
              </w:rPr>
            </w:pPr>
            <w:r w:rsidRPr="0014723C">
              <w:rPr>
                <w:sz w:val="20"/>
              </w:rPr>
              <w:t>End-August 2014</w:t>
            </w:r>
          </w:p>
        </w:tc>
        <w:tc>
          <w:tcPr>
            <w:tcW w:w="2898" w:type="dxa"/>
            <w:vAlign w:val="center"/>
          </w:tcPr>
          <w:p w:rsidR="00F177AB" w:rsidRPr="0014723C" w:rsidRDefault="00F177AB" w:rsidP="00853733">
            <w:pPr>
              <w:pStyle w:val="Text1"/>
              <w:spacing w:after="0" w:line="360" w:lineRule="auto"/>
              <w:ind w:left="0"/>
              <w:jc w:val="center"/>
              <w:rPr>
                <w:sz w:val="20"/>
              </w:rPr>
            </w:pPr>
            <w:r w:rsidRPr="0014723C">
              <w:rPr>
                <w:sz w:val="20"/>
              </w:rPr>
              <w:t>Call text ready</w:t>
            </w:r>
          </w:p>
        </w:tc>
      </w:tr>
      <w:tr w:rsidR="00F177AB" w:rsidRPr="0014723C" w:rsidTr="00822058">
        <w:trPr>
          <w:jc w:val="center"/>
        </w:trPr>
        <w:tc>
          <w:tcPr>
            <w:tcW w:w="2817" w:type="dxa"/>
            <w:vAlign w:val="center"/>
          </w:tcPr>
          <w:p w:rsidR="00F177AB" w:rsidRPr="0014723C" w:rsidRDefault="00F177AB" w:rsidP="004B4DBA">
            <w:pPr>
              <w:pStyle w:val="Text1"/>
              <w:spacing w:after="0" w:line="360" w:lineRule="auto"/>
              <w:ind w:left="0"/>
              <w:jc w:val="center"/>
              <w:rPr>
                <w:sz w:val="20"/>
              </w:rPr>
            </w:pPr>
            <w:r w:rsidRPr="0014723C">
              <w:rPr>
                <w:sz w:val="20"/>
              </w:rPr>
              <w:t>End-October 2014</w:t>
            </w:r>
          </w:p>
        </w:tc>
        <w:tc>
          <w:tcPr>
            <w:tcW w:w="2898" w:type="dxa"/>
            <w:vAlign w:val="center"/>
          </w:tcPr>
          <w:p w:rsidR="00F177AB" w:rsidRPr="0014723C" w:rsidRDefault="00F177AB" w:rsidP="00853733">
            <w:pPr>
              <w:pStyle w:val="Text1"/>
              <w:spacing w:after="0" w:line="360" w:lineRule="auto"/>
              <w:ind w:left="0"/>
              <w:jc w:val="center"/>
              <w:rPr>
                <w:sz w:val="20"/>
              </w:rPr>
            </w:pPr>
            <w:r w:rsidRPr="0014723C">
              <w:rPr>
                <w:sz w:val="20"/>
              </w:rPr>
              <w:t>Call published</w:t>
            </w:r>
          </w:p>
        </w:tc>
      </w:tr>
      <w:tr w:rsidR="00034DEA" w:rsidRPr="0014723C" w:rsidTr="00822058">
        <w:trPr>
          <w:jc w:val="center"/>
        </w:trPr>
        <w:tc>
          <w:tcPr>
            <w:tcW w:w="2817" w:type="dxa"/>
            <w:vAlign w:val="center"/>
          </w:tcPr>
          <w:p w:rsidR="00034DEA" w:rsidRPr="0014723C" w:rsidRDefault="00034DEA" w:rsidP="004B4DBA">
            <w:pPr>
              <w:pStyle w:val="Text1"/>
              <w:spacing w:after="0" w:line="360" w:lineRule="auto"/>
              <w:ind w:left="0"/>
              <w:jc w:val="center"/>
              <w:rPr>
                <w:sz w:val="20"/>
              </w:rPr>
            </w:pPr>
            <w:r w:rsidRPr="0014723C">
              <w:rPr>
                <w:sz w:val="20"/>
              </w:rPr>
              <w:t>End-November</w:t>
            </w:r>
          </w:p>
        </w:tc>
        <w:tc>
          <w:tcPr>
            <w:tcW w:w="2898" w:type="dxa"/>
            <w:vAlign w:val="center"/>
          </w:tcPr>
          <w:p w:rsidR="00034DEA" w:rsidRPr="0014723C" w:rsidRDefault="00034DEA" w:rsidP="00853733">
            <w:pPr>
              <w:pStyle w:val="Text1"/>
              <w:spacing w:after="0" w:line="360" w:lineRule="auto"/>
              <w:ind w:left="0"/>
              <w:jc w:val="center"/>
              <w:rPr>
                <w:sz w:val="20"/>
              </w:rPr>
            </w:pPr>
            <w:r w:rsidRPr="0014723C">
              <w:rPr>
                <w:sz w:val="20"/>
              </w:rPr>
              <w:t>Information Day 1</w:t>
            </w:r>
          </w:p>
        </w:tc>
      </w:tr>
      <w:tr w:rsidR="00F177AB" w:rsidRPr="0014723C" w:rsidTr="00822058">
        <w:trPr>
          <w:jc w:val="center"/>
        </w:trPr>
        <w:tc>
          <w:tcPr>
            <w:tcW w:w="2817" w:type="dxa"/>
            <w:vAlign w:val="center"/>
          </w:tcPr>
          <w:p w:rsidR="00F177AB" w:rsidRPr="0014723C" w:rsidRDefault="00F177AB" w:rsidP="004B4DBA">
            <w:pPr>
              <w:pStyle w:val="Text1"/>
              <w:spacing w:after="0" w:line="360" w:lineRule="auto"/>
              <w:ind w:left="0"/>
              <w:jc w:val="center"/>
              <w:rPr>
                <w:sz w:val="20"/>
              </w:rPr>
            </w:pPr>
            <w:r w:rsidRPr="0014723C">
              <w:rPr>
                <w:sz w:val="20"/>
              </w:rPr>
              <w:t>End-February 2015</w:t>
            </w:r>
          </w:p>
        </w:tc>
        <w:tc>
          <w:tcPr>
            <w:tcW w:w="2898" w:type="dxa"/>
            <w:vAlign w:val="center"/>
          </w:tcPr>
          <w:p w:rsidR="00F177AB" w:rsidRPr="0014723C" w:rsidRDefault="00F177AB" w:rsidP="00853733">
            <w:pPr>
              <w:pStyle w:val="Text1"/>
              <w:spacing w:after="0" w:line="360" w:lineRule="auto"/>
              <w:ind w:left="0"/>
              <w:jc w:val="center"/>
              <w:rPr>
                <w:sz w:val="20"/>
              </w:rPr>
            </w:pPr>
            <w:r w:rsidRPr="0014723C">
              <w:rPr>
                <w:sz w:val="20"/>
              </w:rPr>
              <w:t>Deadline for submission</w:t>
            </w:r>
          </w:p>
        </w:tc>
      </w:tr>
      <w:tr w:rsidR="00F177AB" w:rsidRPr="0014723C" w:rsidTr="00822058">
        <w:trPr>
          <w:jc w:val="center"/>
        </w:trPr>
        <w:tc>
          <w:tcPr>
            <w:tcW w:w="2817" w:type="dxa"/>
            <w:vAlign w:val="center"/>
          </w:tcPr>
          <w:p w:rsidR="00F177AB" w:rsidRPr="0014723C" w:rsidRDefault="00F177AB" w:rsidP="004B4DBA">
            <w:pPr>
              <w:pStyle w:val="Text1"/>
              <w:spacing w:after="0" w:line="360" w:lineRule="auto"/>
              <w:ind w:left="0"/>
              <w:jc w:val="center"/>
              <w:rPr>
                <w:sz w:val="20"/>
              </w:rPr>
            </w:pPr>
            <w:r w:rsidRPr="0014723C">
              <w:rPr>
                <w:sz w:val="20"/>
              </w:rPr>
              <w:t>End-August 2015</w:t>
            </w:r>
          </w:p>
        </w:tc>
        <w:tc>
          <w:tcPr>
            <w:tcW w:w="2898" w:type="dxa"/>
            <w:vAlign w:val="center"/>
          </w:tcPr>
          <w:p w:rsidR="00F177AB" w:rsidRPr="0014723C" w:rsidRDefault="00F177AB" w:rsidP="00853733">
            <w:pPr>
              <w:pStyle w:val="Text1"/>
              <w:spacing w:after="0" w:line="360" w:lineRule="auto"/>
              <w:ind w:left="0"/>
              <w:jc w:val="center"/>
              <w:rPr>
                <w:sz w:val="20"/>
              </w:rPr>
            </w:pPr>
            <w:r w:rsidRPr="0014723C">
              <w:rPr>
                <w:sz w:val="20"/>
              </w:rPr>
              <w:t>Information to applicants</w:t>
            </w:r>
          </w:p>
        </w:tc>
      </w:tr>
      <w:tr w:rsidR="00F177AB" w:rsidRPr="00371D4A" w:rsidTr="00822058">
        <w:trPr>
          <w:jc w:val="center"/>
        </w:trPr>
        <w:tc>
          <w:tcPr>
            <w:tcW w:w="2817" w:type="dxa"/>
            <w:vAlign w:val="center"/>
          </w:tcPr>
          <w:p w:rsidR="00F177AB" w:rsidRPr="0014723C" w:rsidRDefault="00F177AB" w:rsidP="004B4DBA">
            <w:pPr>
              <w:pStyle w:val="Text1"/>
              <w:spacing w:after="0" w:line="360" w:lineRule="auto"/>
              <w:ind w:left="0"/>
              <w:jc w:val="center"/>
              <w:rPr>
                <w:sz w:val="20"/>
              </w:rPr>
            </w:pPr>
            <w:r w:rsidRPr="0014723C">
              <w:rPr>
                <w:sz w:val="20"/>
              </w:rPr>
              <w:t>End-November  2015</w:t>
            </w:r>
          </w:p>
        </w:tc>
        <w:tc>
          <w:tcPr>
            <w:tcW w:w="2898" w:type="dxa"/>
            <w:vAlign w:val="center"/>
          </w:tcPr>
          <w:p w:rsidR="00F177AB" w:rsidRPr="00371D4A" w:rsidRDefault="00F177AB" w:rsidP="00853733">
            <w:pPr>
              <w:pStyle w:val="Text1"/>
              <w:spacing w:after="0" w:line="360" w:lineRule="auto"/>
              <w:ind w:left="0"/>
              <w:jc w:val="center"/>
              <w:rPr>
                <w:sz w:val="20"/>
              </w:rPr>
            </w:pPr>
            <w:r w:rsidRPr="0014723C">
              <w:rPr>
                <w:sz w:val="20"/>
              </w:rPr>
              <w:t>Grant agreements signed</w:t>
            </w:r>
          </w:p>
        </w:tc>
      </w:tr>
    </w:tbl>
    <w:p w:rsidR="00034DEA" w:rsidRPr="0014723C" w:rsidRDefault="00034DEA" w:rsidP="00853733">
      <w:pPr>
        <w:pStyle w:val="Ttulo1"/>
        <w:spacing w:line="360" w:lineRule="auto"/>
        <w:ind w:left="482" w:hanging="482"/>
        <w:rPr>
          <w:szCs w:val="24"/>
        </w:rPr>
      </w:pPr>
      <w:r w:rsidRPr="0014723C">
        <w:rPr>
          <w:szCs w:val="24"/>
        </w:rPr>
        <w:t>Support at the disposal of Member States and their Managing Authorities</w:t>
      </w:r>
    </w:p>
    <w:p w:rsidR="004B4DBA" w:rsidRDefault="00034DEA" w:rsidP="00853733">
      <w:pPr>
        <w:spacing w:after="120" w:line="360" w:lineRule="auto"/>
        <w:rPr>
          <w:szCs w:val="24"/>
        </w:rPr>
      </w:pPr>
      <w:r>
        <w:rPr>
          <w:szCs w:val="24"/>
        </w:rPr>
        <w:t xml:space="preserve">As outlined above, the FI-TAP will start its activities in the second half of 2014. </w:t>
      </w:r>
      <w:r w:rsidR="004B4DBA">
        <w:rPr>
          <w:szCs w:val="24"/>
        </w:rPr>
        <w:t xml:space="preserve">In the meantime, </w:t>
      </w:r>
      <w:r w:rsidR="004B4DBA" w:rsidRPr="00E4705F">
        <w:rPr>
          <w:b/>
          <w:szCs w:val="24"/>
        </w:rPr>
        <w:t xml:space="preserve">the Commission </w:t>
      </w:r>
      <w:r w:rsidR="0038798F" w:rsidRPr="00E4705F">
        <w:rPr>
          <w:b/>
          <w:szCs w:val="24"/>
        </w:rPr>
        <w:t xml:space="preserve">will </w:t>
      </w:r>
      <w:r w:rsidR="00853733" w:rsidRPr="00E4705F">
        <w:rPr>
          <w:b/>
          <w:szCs w:val="24"/>
        </w:rPr>
        <w:t>ensure</w:t>
      </w:r>
      <w:r w:rsidR="004B4DBA" w:rsidRPr="00E4705F">
        <w:rPr>
          <w:b/>
          <w:szCs w:val="24"/>
        </w:rPr>
        <w:t xml:space="preserve"> that </w:t>
      </w:r>
      <w:r w:rsidRPr="00E4705F">
        <w:rPr>
          <w:b/>
          <w:szCs w:val="24"/>
        </w:rPr>
        <w:t xml:space="preserve">the necessary </w:t>
      </w:r>
      <w:r w:rsidR="00744324" w:rsidRPr="00E4705F">
        <w:rPr>
          <w:b/>
          <w:szCs w:val="24"/>
        </w:rPr>
        <w:t xml:space="preserve">support </w:t>
      </w:r>
      <w:r w:rsidRPr="00E4705F">
        <w:rPr>
          <w:b/>
          <w:szCs w:val="24"/>
        </w:rPr>
        <w:t xml:space="preserve">is available to </w:t>
      </w:r>
      <w:r w:rsidR="004B4DBA" w:rsidRPr="00E4705F">
        <w:rPr>
          <w:b/>
          <w:szCs w:val="24"/>
        </w:rPr>
        <w:t xml:space="preserve">Member States and their </w:t>
      </w:r>
      <w:r w:rsidRPr="00E4705F">
        <w:rPr>
          <w:b/>
          <w:szCs w:val="24"/>
        </w:rPr>
        <w:t>Managing Authorities</w:t>
      </w:r>
      <w:r w:rsidR="004B4DBA">
        <w:rPr>
          <w:szCs w:val="24"/>
        </w:rPr>
        <w:t>:</w:t>
      </w:r>
    </w:p>
    <w:p w:rsidR="004B4DBA" w:rsidRPr="004B4DBA" w:rsidRDefault="004B4DBA" w:rsidP="0047461E">
      <w:pPr>
        <w:pStyle w:val="Prrafodelista"/>
        <w:numPr>
          <w:ilvl w:val="0"/>
          <w:numId w:val="49"/>
        </w:numPr>
        <w:spacing w:after="120" w:line="360" w:lineRule="auto"/>
        <w:jc w:val="both"/>
        <w:rPr>
          <w:rFonts w:ascii="Times New Roman" w:hAnsi="Times New Roman"/>
          <w:sz w:val="24"/>
          <w:szCs w:val="24"/>
        </w:rPr>
      </w:pPr>
      <w:r w:rsidRPr="004B4DBA">
        <w:rPr>
          <w:rFonts w:ascii="Times New Roman" w:hAnsi="Times New Roman"/>
          <w:sz w:val="24"/>
          <w:szCs w:val="24"/>
        </w:rPr>
        <w:t xml:space="preserve">The short </w:t>
      </w:r>
      <w:r w:rsidR="004207CD">
        <w:rPr>
          <w:rFonts w:ascii="Times New Roman" w:hAnsi="Times New Roman"/>
          <w:sz w:val="24"/>
          <w:szCs w:val="24"/>
        </w:rPr>
        <w:t>reference guide for Managing Authorities</w:t>
      </w:r>
      <w:r w:rsidRPr="004B4DBA">
        <w:rPr>
          <w:rFonts w:ascii="Times New Roman" w:hAnsi="Times New Roman"/>
          <w:sz w:val="24"/>
          <w:szCs w:val="24"/>
        </w:rPr>
        <w:t xml:space="preserve"> was prepared and transmitted to EGESIF in February</w:t>
      </w:r>
      <w:r w:rsidR="004207CD">
        <w:rPr>
          <w:rFonts w:ascii="Times New Roman" w:hAnsi="Times New Roman"/>
          <w:sz w:val="24"/>
          <w:szCs w:val="24"/>
        </w:rPr>
        <w:t xml:space="preserve"> and is available online</w:t>
      </w:r>
      <w:r w:rsidR="00853733">
        <w:rPr>
          <w:rStyle w:val="Refdenotaalpie"/>
          <w:rFonts w:ascii="Times New Roman" w:hAnsi="Times New Roman"/>
          <w:sz w:val="24"/>
          <w:szCs w:val="24"/>
        </w:rPr>
        <w:footnoteReference w:id="4"/>
      </w:r>
      <w:r w:rsidR="00853733">
        <w:rPr>
          <w:rFonts w:ascii="Times New Roman" w:hAnsi="Times New Roman"/>
          <w:sz w:val="24"/>
          <w:szCs w:val="24"/>
        </w:rPr>
        <w:t xml:space="preserve">. </w:t>
      </w:r>
      <w:r w:rsidR="00853733" w:rsidRPr="00853733">
        <w:rPr>
          <w:rFonts w:ascii="Times New Roman" w:hAnsi="Times New Roman"/>
          <w:sz w:val="24"/>
          <w:szCs w:val="24"/>
        </w:rPr>
        <w:t xml:space="preserve">Further to the political agreement between the co-legislators on the Regulation on the European Maritime and Fisheries Fund on 1 February 2014, it is being updated with the relevant references and will be re-issued </w:t>
      </w:r>
      <w:r w:rsidR="00853733">
        <w:rPr>
          <w:rFonts w:ascii="Times New Roman" w:hAnsi="Times New Roman"/>
          <w:sz w:val="24"/>
          <w:szCs w:val="24"/>
        </w:rPr>
        <w:t>soon</w:t>
      </w:r>
      <w:r w:rsidR="00853733" w:rsidRPr="00853733">
        <w:rPr>
          <w:rFonts w:ascii="Times New Roman" w:hAnsi="Times New Roman"/>
          <w:sz w:val="24"/>
          <w:szCs w:val="24"/>
        </w:rPr>
        <w:t>.</w:t>
      </w:r>
      <w:r w:rsidRPr="004B4DBA">
        <w:rPr>
          <w:rFonts w:ascii="Times New Roman" w:hAnsi="Times New Roman"/>
          <w:sz w:val="24"/>
          <w:szCs w:val="24"/>
        </w:rPr>
        <w:t xml:space="preserve"> </w:t>
      </w:r>
      <w:r w:rsidR="0047461E">
        <w:rPr>
          <w:rFonts w:ascii="Times New Roman" w:hAnsi="Times New Roman"/>
          <w:sz w:val="24"/>
          <w:szCs w:val="24"/>
        </w:rPr>
        <w:t xml:space="preserve">The </w:t>
      </w:r>
      <w:r w:rsidR="0047461E" w:rsidRPr="0047461E">
        <w:rPr>
          <w:rFonts w:ascii="Times New Roman" w:hAnsi="Times New Roman"/>
          <w:sz w:val="24"/>
          <w:szCs w:val="24"/>
        </w:rPr>
        <w:t>guide is designed to provide an overview of the main elements of the new legislation as pert</w:t>
      </w:r>
      <w:r w:rsidR="0047461E">
        <w:rPr>
          <w:rFonts w:ascii="Times New Roman" w:hAnsi="Times New Roman"/>
          <w:sz w:val="24"/>
          <w:szCs w:val="24"/>
        </w:rPr>
        <w:t>ains to financial instruments. Further</w:t>
      </w:r>
      <w:r w:rsidR="0047461E" w:rsidRPr="0047461E">
        <w:rPr>
          <w:rFonts w:ascii="Times New Roman" w:hAnsi="Times New Roman"/>
          <w:sz w:val="24"/>
          <w:szCs w:val="24"/>
        </w:rPr>
        <w:t xml:space="preserve"> to feedback from stakeholders</w:t>
      </w:r>
      <w:r w:rsidR="0047461E">
        <w:rPr>
          <w:rFonts w:ascii="Times New Roman" w:hAnsi="Times New Roman"/>
          <w:sz w:val="24"/>
          <w:szCs w:val="24"/>
        </w:rPr>
        <w:t xml:space="preserve">, </w:t>
      </w:r>
      <w:r w:rsidR="0047461E" w:rsidRPr="0047461E">
        <w:rPr>
          <w:rFonts w:ascii="Times New Roman" w:hAnsi="Times New Roman"/>
          <w:sz w:val="24"/>
          <w:szCs w:val="24"/>
        </w:rPr>
        <w:t>it may be expanded or supplemented with more detailed specific guidance as relevant</w:t>
      </w:r>
      <w:r w:rsidRPr="004B4DBA">
        <w:rPr>
          <w:rFonts w:ascii="Times New Roman" w:hAnsi="Times New Roman"/>
          <w:sz w:val="24"/>
          <w:szCs w:val="24"/>
        </w:rPr>
        <w:t xml:space="preserve">. </w:t>
      </w:r>
    </w:p>
    <w:p w:rsidR="00930C6B" w:rsidRDefault="004B4DBA" w:rsidP="007C2754">
      <w:pPr>
        <w:pStyle w:val="Text2"/>
        <w:numPr>
          <w:ilvl w:val="0"/>
          <w:numId w:val="49"/>
        </w:numPr>
        <w:spacing w:line="360" w:lineRule="auto"/>
        <w:rPr>
          <w:szCs w:val="24"/>
        </w:rPr>
      </w:pPr>
      <w:r w:rsidRPr="007C2754">
        <w:rPr>
          <w:szCs w:val="24"/>
        </w:rPr>
        <w:t>Before the decision to implement any ESIF-supported financial instrument, Managing Authorit</w:t>
      </w:r>
      <w:r w:rsidR="006174AF" w:rsidRPr="007C2754">
        <w:rPr>
          <w:szCs w:val="24"/>
        </w:rPr>
        <w:t>ies</w:t>
      </w:r>
      <w:r w:rsidRPr="007C2754">
        <w:rPr>
          <w:szCs w:val="24"/>
        </w:rPr>
        <w:t xml:space="preserve"> needs to carry out an ex-ante assessment according to Article 37(2) of the CPR. It is a novelty in 2014-2020 which involves rather technical terms and concepts and as such might require further explanations and advice. Therefore, the Commission has commissioned the preparation of a good practice ex-ante assessment methodology to the EIB who subcontracted it to PwC. </w:t>
      </w:r>
      <w:r w:rsidR="00930C6B" w:rsidRPr="007C2754">
        <w:rPr>
          <w:szCs w:val="24"/>
        </w:rPr>
        <w:t xml:space="preserve">The general and SME-specific good practice ex-ante assessment methodologies were made available and presented to EGESIF on 27 March and will be available online by the end of April, following some updates on state aid issues. </w:t>
      </w:r>
      <w:r w:rsidRPr="007C2754">
        <w:rPr>
          <w:szCs w:val="24"/>
        </w:rPr>
        <w:t>The good practice ex-ante assessment methodologies for R&amp;I, urban and low carbon are being finalised and will be made available soon.</w:t>
      </w:r>
      <w:r w:rsidR="00930C6B">
        <w:rPr>
          <w:szCs w:val="24"/>
        </w:rPr>
        <w:t xml:space="preserve"> </w:t>
      </w:r>
    </w:p>
    <w:p w:rsidR="004B4DBA" w:rsidRPr="007C2754" w:rsidRDefault="00930C6B" w:rsidP="007C2754">
      <w:pPr>
        <w:pStyle w:val="Text2"/>
        <w:numPr>
          <w:ilvl w:val="0"/>
          <w:numId w:val="49"/>
        </w:numPr>
        <w:spacing w:line="360" w:lineRule="auto"/>
        <w:rPr>
          <w:szCs w:val="24"/>
        </w:rPr>
      </w:pPr>
      <w:r w:rsidRPr="006C6559">
        <w:rPr>
          <w:szCs w:val="24"/>
        </w:rPr>
        <w:t xml:space="preserve">It is important to note that </w:t>
      </w:r>
      <w:r>
        <w:rPr>
          <w:szCs w:val="24"/>
        </w:rPr>
        <w:t xml:space="preserve">the preparation of these good-practice methodologies form part of </w:t>
      </w:r>
      <w:r w:rsidRPr="006C6559">
        <w:rPr>
          <w:szCs w:val="24"/>
        </w:rPr>
        <w:t>auxiliary measure</w:t>
      </w:r>
      <w:r>
        <w:rPr>
          <w:szCs w:val="24"/>
        </w:rPr>
        <w:t xml:space="preserve">s offered by the Commission to Member States and Managing Authorities </w:t>
      </w:r>
      <w:r w:rsidRPr="006C6559">
        <w:rPr>
          <w:szCs w:val="24"/>
        </w:rPr>
        <w:t>since it is up to the Managing Authorit</w:t>
      </w:r>
      <w:r>
        <w:rPr>
          <w:szCs w:val="24"/>
        </w:rPr>
        <w:t>ies</w:t>
      </w:r>
      <w:r w:rsidRPr="006C6559">
        <w:rPr>
          <w:szCs w:val="24"/>
        </w:rPr>
        <w:t xml:space="preserve"> to decide on the methodology</w:t>
      </w:r>
      <w:r>
        <w:rPr>
          <w:szCs w:val="24"/>
        </w:rPr>
        <w:t xml:space="preserve"> to be used</w:t>
      </w:r>
      <w:r w:rsidRPr="006C6559">
        <w:rPr>
          <w:szCs w:val="24"/>
        </w:rPr>
        <w:t xml:space="preserve"> and </w:t>
      </w:r>
      <w:r>
        <w:rPr>
          <w:szCs w:val="24"/>
        </w:rPr>
        <w:t xml:space="preserve">to </w:t>
      </w:r>
      <w:r w:rsidRPr="006C6559">
        <w:rPr>
          <w:szCs w:val="24"/>
        </w:rPr>
        <w:t>assess the quality of the ex-ante assessment.</w:t>
      </w:r>
    </w:p>
    <w:p w:rsidR="00192B6C" w:rsidRPr="007C2754" w:rsidRDefault="004B4DBA" w:rsidP="00B63AEC">
      <w:pPr>
        <w:pStyle w:val="Prrafodelista"/>
        <w:numPr>
          <w:ilvl w:val="0"/>
          <w:numId w:val="49"/>
        </w:numPr>
        <w:spacing w:after="120" w:line="360" w:lineRule="auto"/>
        <w:jc w:val="both"/>
      </w:pPr>
      <w:r w:rsidRPr="004B4DBA">
        <w:rPr>
          <w:rFonts w:ascii="Times New Roman" w:hAnsi="Times New Roman"/>
          <w:sz w:val="24"/>
          <w:szCs w:val="24"/>
        </w:rPr>
        <w:t xml:space="preserve">Trainings on </w:t>
      </w:r>
      <w:r w:rsidR="00853733" w:rsidRPr="004B4DBA">
        <w:rPr>
          <w:rFonts w:ascii="Times New Roman" w:hAnsi="Times New Roman"/>
          <w:sz w:val="24"/>
          <w:szCs w:val="24"/>
        </w:rPr>
        <w:t>the</w:t>
      </w:r>
      <w:r w:rsidR="00853733">
        <w:rPr>
          <w:rFonts w:ascii="Times New Roman" w:hAnsi="Times New Roman"/>
          <w:sz w:val="24"/>
          <w:szCs w:val="24"/>
        </w:rPr>
        <w:t xml:space="preserve"> above </w:t>
      </w:r>
      <w:r w:rsidRPr="004B4DBA">
        <w:rPr>
          <w:rFonts w:ascii="Times New Roman" w:hAnsi="Times New Roman"/>
          <w:sz w:val="24"/>
          <w:szCs w:val="24"/>
        </w:rPr>
        <w:t xml:space="preserve">ex-ante assessment methodologies </w:t>
      </w:r>
      <w:r w:rsidR="0038798F">
        <w:rPr>
          <w:rFonts w:ascii="Times New Roman" w:hAnsi="Times New Roman"/>
          <w:sz w:val="24"/>
          <w:szCs w:val="24"/>
        </w:rPr>
        <w:t>targeted at</w:t>
      </w:r>
      <w:r w:rsidR="0038798F" w:rsidRPr="004B4DBA">
        <w:rPr>
          <w:rFonts w:ascii="Times New Roman" w:hAnsi="Times New Roman"/>
          <w:sz w:val="24"/>
          <w:szCs w:val="24"/>
        </w:rPr>
        <w:t xml:space="preserve"> </w:t>
      </w:r>
      <w:r w:rsidRPr="004B4DBA">
        <w:rPr>
          <w:rFonts w:ascii="Times New Roman" w:hAnsi="Times New Roman"/>
          <w:sz w:val="24"/>
          <w:szCs w:val="24"/>
        </w:rPr>
        <w:t>Managing Authorities will take place in the beginning of June</w:t>
      </w:r>
      <w:r w:rsidR="00853733">
        <w:rPr>
          <w:rFonts w:ascii="Times New Roman" w:hAnsi="Times New Roman"/>
          <w:sz w:val="24"/>
          <w:szCs w:val="24"/>
        </w:rPr>
        <w:t xml:space="preserve"> in Brussels</w:t>
      </w:r>
      <w:r w:rsidRPr="004B4DBA">
        <w:rPr>
          <w:rFonts w:ascii="Times New Roman" w:hAnsi="Times New Roman"/>
          <w:sz w:val="24"/>
          <w:szCs w:val="24"/>
        </w:rPr>
        <w:t xml:space="preserve">, tentatively on 5, 6 </w:t>
      </w:r>
      <w:r w:rsidR="00853733">
        <w:rPr>
          <w:rFonts w:ascii="Times New Roman" w:hAnsi="Times New Roman"/>
          <w:sz w:val="24"/>
          <w:szCs w:val="24"/>
        </w:rPr>
        <w:t>and</w:t>
      </w:r>
      <w:r w:rsidR="00853733" w:rsidRPr="004B4DBA">
        <w:rPr>
          <w:rFonts w:ascii="Times New Roman" w:hAnsi="Times New Roman"/>
          <w:sz w:val="24"/>
          <w:szCs w:val="24"/>
        </w:rPr>
        <w:t xml:space="preserve"> </w:t>
      </w:r>
      <w:r w:rsidRPr="004B4DBA">
        <w:rPr>
          <w:rFonts w:ascii="Times New Roman" w:hAnsi="Times New Roman"/>
          <w:sz w:val="24"/>
          <w:szCs w:val="24"/>
        </w:rPr>
        <w:t xml:space="preserve">10 June. The Commission </w:t>
      </w:r>
      <w:r w:rsidR="0038798F">
        <w:rPr>
          <w:rFonts w:ascii="Times New Roman" w:hAnsi="Times New Roman"/>
          <w:sz w:val="24"/>
          <w:szCs w:val="24"/>
        </w:rPr>
        <w:t>will</w:t>
      </w:r>
      <w:r w:rsidRPr="004B4DBA">
        <w:rPr>
          <w:rFonts w:ascii="Times New Roman" w:hAnsi="Times New Roman"/>
          <w:sz w:val="24"/>
          <w:szCs w:val="24"/>
        </w:rPr>
        <w:t xml:space="preserve"> send </w:t>
      </w:r>
      <w:r w:rsidR="0038798F">
        <w:rPr>
          <w:rFonts w:ascii="Times New Roman" w:hAnsi="Times New Roman"/>
          <w:sz w:val="24"/>
          <w:szCs w:val="24"/>
        </w:rPr>
        <w:t xml:space="preserve">the </w:t>
      </w:r>
      <w:r w:rsidRPr="004B4DBA">
        <w:rPr>
          <w:rFonts w:ascii="Times New Roman" w:hAnsi="Times New Roman"/>
          <w:sz w:val="24"/>
          <w:szCs w:val="24"/>
        </w:rPr>
        <w:t>invitations at the beginning of May.</w:t>
      </w:r>
    </w:p>
    <w:p w:rsidR="00930C6B" w:rsidRPr="007C2754" w:rsidRDefault="00930C6B" w:rsidP="007C2754">
      <w:pPr>
        <w:spacing w:after="120" w:line="360" w:lineRule="auto"/>
        <w:ind w:left="360"/>
        <w:rPr>
          <w:b/>
        </w:rPr>
      </w:pPr>
      <w:r w:rsidRPr="007C2754">
        <w:rPr>
          <w:b/>
        </w:rPr>
        <w:t xml:space="preserve">Finally, a conference </w:t>
      </w:r>
      <w:r w:rsidR="006174AF" w:rsidRPr="007C2754">
        <w:rPr>
          <w:b/>
        </w:rPr>
        <w:t>dedicated to ESI Funds financial instruments target</w:t>
      </w:r>
      <w:r w:rsidR="006174AF">
        <w:rPr>
          <w:b/>
        </w:rPr>
        <w:t>ing</w:t>
      </w:r>
      <w:r w:rsidR="006174AF" w:rsidRPr="007C2754">
        <w:rPr>
          <w:b/>
        </w:rPr>
        <w:t xml:space="preserve"> </w:t>
      </w:r>
      <w:r w:rsidR="006174AF">
        <w:rPr>
          <w:b/>
        </w:rPr>
        <w:t>M</w:t>
      </w:r>
      <w:r w:rsidR="006174AF" w:rsidRPr="007C2754">
        <w:rPr>
          <w:b/>
        </w:rPr>
        <w:t xml:space="preserve">anaging Authorities will be organised in Brussels in January 2015, to </w:t>
      </w:r>
      <w:r w:rsidR="006174AF">
        <w:rPr>
          <w:b/>
        </w:rPr>
        <w:t>provide</w:t>
      </w:r>
      <w:r w:rsidR="006174AF" w:rsidRPr="007C2754">
        <w:rPr>
          <w:b/>
        </w:rPr>
        <w:t xml:space="preserve"> a first exchange on </w:t>
      </w:r>
      <w:r w:rsidR="006174AF">
        <w:rPr>
          <w:b/>
        </w:rPr>
        <w:t xml:space="preserve">the results of the programming exercise regarding expected use of </w:t>
      </w:r>
      <w:r w:rsidR="006174AF" w:rsidRPr="007C2754">
        <w:rPr>
          <w:b/>
        </w:rPr>
        <w:t xml:space="preserve">financial instruments in the new programming period and to prepare the </w:t>
      </w:r>
      <w:r w:rsidR="006174AF">
        <w:rPr>
          <w:b/>
        </w:rPr>
        <w:t>ground for a sound and effective implementation.</w:t>
      </w:r>
      <w:r w:rsidRPr="007C2754">
        <w:rPr>
          <w:b/>
        </w:rPr>
        <w:t xml:space="preserve"> </w:t>
      </w:r>
    </w:p>
    <w:sectPr w:rsidR="00930C6B" w:rsidRPr="007C2754" w:rsidSect="00EC3AB9">
      <w:footerReference w:type="default" r:id="rId9"/>
      <w:headerReference w:type="first" r:id="rId10"/>
      <w:footerReference w:type="first" r:id="rId11"/>
      <w:pgSz w:w="11906" w:h="16838"/>
      <w:pgMar w:top="1417" w:right="1417" w:bottom="1134" w:left="1417" w:header="601" w:footer="107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647B" w:rsidRDefault="00C6647B">
      <w:pPr>
        <w:spacing w:after="0"/>
      </w:pPr>
      <w:r>
        <w:separator/>
      </w:r>
    </w:p>
  </w:endnote>
  <w:endnote w:type="continuationSeparator" w:id="0">
    <w:p w:rsidR="00C6647B" w:rsidRDefault="00C6647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7A6" w:rsidRDefault="001F27A6">
    <w:pPr>
      <w:pStyle w:val="Piedepgina"/>
      <w:jc w:val="center"/>
    </w:pPr>
    <w:r>
      <w:fldChar w:fldCharType="begin"/>
    </w:r>
    <w:r>
      <w:instrText>PAGE</w:instrText>
    </w:r>
    <w:r>
      <w:fldChar w:fldCharType="separate"/>
    </w:r>
    <w:r w:rsidR="007C2754">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7A6" w:rsidRDefault="001F27A6">
    <w:pPr>
      <w:pStyle w:val="Piedepgina"/>
      <w:rPr>
        <w:sz w:val="24"/>
        <w:szCs w:val="24"/>
      </w:rPr>
    </w:pPr>
  </w:p>
  <w:p w:rsidR="001F27A6" w:rsidRDefault="001F27A6">
    <w:pPr>
      <w:pStyle w:val="Piedepgina"/>
    </w:pPr>
    <w:r w:rsidRPr="002170FF">
      <w:rPr>
        <w:lang w:val="fr-BE"/>
      </w:rPr>
      <w:t xml:space="preserve">Commission européenne/Europese Commissie, 1049 Bruxelles/Brussel, BELGIQUE/BELGIË - Tel. </w:t>
    </w:r>
    <w:r>
      <w:t>+32 22991111</w:t>
    </w:r>
  </w:p>
  <w:p w:rsidR="001F27A6" w:rsidRDefault="001F27A6">
    <w:pPr>
      <w:pStyle w:val="Piedepgina"/>
    </w:pPr>
    <w:r>
      <w:t>http://ec.europa.eu/regional_policy/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647B" w:rsidRDefault="00C6647B">
      <w:pPr>
        <w:spacing w:after="0"/>
      </w:pPr>
      <w:r>
        <w:separator/>
      </w:r>
    </w:p>
  </w:footnote>
  <w:footnote w:type="continuationSeparator" w:id="0">
    <w:p w:rsidR="00C6647B" w:rsidRDefault="00C6647B">
      <w:pPr>
        <w:spacing w:after="0"/>
      </w:pPr>
      <w:r>
        <w:continuationSeparator/>
      </w:r>
    </w:p>
  </w:footnote>
  <w:footnote w:id="1">
    <w:p w:rsidR="00692617" w:rsidRPr="00CC40FD" w:rsidRDefault="00692617" w:rsidP="00692617">
      <w:pPr>
        <w:spacing w:after="120"/>
        <w:rPr>
          <w:sz w:val="16"/>
          <w:szCs w:val="16"/>
        </w:rPr>
      </w:pPr>
      <w:r w:rsidRPr="00CC40FD">
        <w:rPr>
          <w:sz w:val="16"/>
          <w:szCs w:val="16"/>
          <w:vertAlign w:val="superscript"/>
        </w:rPr>
        <w:footnoteRef/>
      </w:r>
      <w:r w:rsidRPr="00CC40FD">
        <w:rPr>
          <w:sz w:val="16"/>
          <w:szCs w:val="16"/>
          <w:vertAlign w:val="superscript"/>
        </w:rPr>
        <w:t xml:space="preserve"> </w:t>
      </w:r>
      <w:r w:rsidRPr="00CC40FD">
        <w:rPr>
          <w:sz w:val="16"/>
          <w:szCs w:val="16"/>
        </w:rPr>
        <w:t xml:space="preserve">EU Programme for Employment and Social Innovation: </w:t>
      </w:r>
      <w:hyperlink r:id="rId1" w:history="1">
        <w:r w:rsidRPr="00CC40FD">
          <w:rPr>
            <w:rStyle w:val="Hipervnculo"/>
            <w:sz w:val="16"/>
            <w:szCs w:val="16"/>
          </w:rPr>
          <w:t>http://ec.europa.eu/social/main.jsp?catId=1081</w:t>
        </w:r>
      </w:hyperlink>
      <w:r w:rsidRPr="00CC40FD">
        <w:rPr>
          <w:sz w:val="16"/>
          <w:szCs w:val="16"/>
        </w:rPr>
        <w:t>.</w:t>
      </w:r>
    </w:p>
  </w:footnote>
  <w:footnote w:id="2">
    <w:p w:rsidR="001F27A6" w:rsidRPr="00CC40FD" w:rsidRDefault="001F27A6" w:rsidP="00346176">
      <w:pPr>
        <w:spacing w:after="120"/>
      </w:pPr>
      <w:r w:rsidRPr="00CC40FD">
        <w:rPr>
          <w:rStyle w:val="Refdenotaalpie"/>
          <w:sz w:val="16"/>
          <w:szCs w:val="16"/>
        </w:rPr>
        <w:footnoteRef/>
      </w:r>
      <w:r w:rsidRPr="00CC40FD">
        <w:rPr>
          <w:sz w:val="16"/>
          <w:szCs w:val="16"/>
        </w:rPr>
        <w:t xml:space="preserve"> To illustrate the intervention scope of the above three TA layers, it is useful to take the example of the ex-ante assessment, which needs to be carried out before implementation of any financial instrument supported by ESI Funds. The horizontal FI-TAP will provide good practice methodology outlining the steps to be followed in any ex-ant</w:t>
      </w:r>
      <w:r>
        <w:rPr>
          <w:sz w:val="16"/>
          <w:szCs w:val="16"/>
        </w:rPr>
        <w:t>e</w:t>
      </w:r>
      <w:r w:rsidRPr="00CC40FD">
        <w:rPr>
          <w:sz w:val="16"/>
          <w:szCs w:val="16"/>
        </w:rPr>
        <w:t xml:space="preserve"> assessment, in the framework of the multi-region FI-TAP two Managing Authorities who have a common challenge, e.g. to support the Roma population, could receive co-financing to a project involving an IFI and covering the ex-ante assessment elements specific to this subject, finally the TA of the relevant OPs could be used to pay the respective ex-ante assessment studies.</w:t>
      </w:r>
    </w:p>
  </w:footnote>
  <w:footnote w:id="3">
    <w:p w:rsidR="001F27A6" w:rsidRPr="00CC40FD" w:rsidRDefault="001F27A6" w:rsidP="00346176">
      <w:pPr>
        <w:pStyle w:val="Textonotapie"/>
        <w:spacing w:after="120"/>
        <w:rPr>
          <w:sz w:val="16"/>
          <w:szCs w:val="16"/>
        </w:rPr>
      </w:pPr>
      <w:r w:rsidRPr="00CC40FD">
        <w:rPr>
          <w:rStyle w:val="Refdenotaalpie"/>
          <w:sz w:val="16"/>
          <w:szCs w:val="16"/>
        </w:rPr>
        <w:footnoteRef/>
      </w:r>
      <w:r w:rsidRPr="00CC40FD">
        <w:rPr>
          <w:sz w:val="16"/>
          <w:szCs w:val="16"/>
        </w:rPr>
        <w:t xml:space="preserve"> </w:t>
      </w:r>
      <w:hyperlink r:id="rId2" w:history="1">
        <w:r w:rsidRPr="00CC40FD">
          <w:rPr>
            <w:rStyle w:val="Hipervnculo"/>
            <w:sz w:val="16"/>
            <w:szCs w:val="16"/>
          </w:rPr>
          <w:t>http://ec.europa.eu/regional_policy/thefunds/instruments/doc/20130621_ta_survey_en.pdf</w:t>
        </w:r>
      </w:hyperlink>
      <w:r w:rsidRPr="00CC40FD">
        <w:rPr>
          <w:sz w:val="16"/>
          <w:szCs w:val="16"/>
        </w:rPr>
        <w:t xml:space="preserve"> </w:t>
      </w:r>
    </w:p>
  </w:footnote>
  <w:footnote w:id="4">
    <w:p w:rsidR="00853733" w:rsidRPr="00853733" w:rsidRDefault="00853733">
      <w:pPr>
        <w:pStyle w:val="Textonotapie"/>
        <w:rPr>
          <w:sz w:val="16"/>
          <w:szCs w:val="16"/>
        </w:rPr>
      </w:pPr>
      <w:r w:rsidRPr="00853733">
        <w:rPr>
          <w:rStyle w:val="Refdenotaalpie"/>
          <w:sz w:val="16"/>
          <w:szCs w:val="16"/>
        </w:rPr>
        <w:footnoteRef/>
      </w:r>
      <w:r w:rsidRPr="00853733">
        <w:rPr>
          <w:sz w:val="16"/>
          <w:szCs w:val="16"/>
        </w:rPr>
        <w:t xml:space="preserve"> </w:t>
      </w:r>
      <w:hyperlink r:id="rId3" w:history="1">
        <w:r w:rsidRPr="00853733">
          <w:rPr>
            <w:rStyle w:val="Hipervnculo"/>
            <w:sz w:val="16"/>
            <w:szCs w:val="16"/>
          </w:rPr>
          <w:t>http://ec.europa.eu/regional_policy/information/guidelines/index_en.cfm</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7A6" w:rsidRDefault="001F27A6">
    <w:pPr>
      <w:pStyle w:val="Encabezado"/>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8029DA"/>
    <w:lvl w:ilvl="0">
      <w:start w:val="1"/>
      <w:numFmt w:val="decimal"/>
      <w:pStyle w:val="Listaconnmeros5"/>
      <w:lvlText w:val="%1."/>
      <w:lvlJc w:val="left"/>
      <w:pPr>
        <w:tabs>
          <w:tab w:val="num" w:pos="1492"/>
        </w:tabs>
        <w:ind w:left="1492" w:hanging="360"/>
      </w:pPr>
    </w:lvl>
  </w:abstractNum>
  <w:abstractNum w:abstractNumId="1">
    <w:nsid w:val="FFFFFF80"/>
    <w:multiLevelType w:val="singleLevel"/>
    <w:tmpl w:val="1FA45650"/>
    <w:lvl w:ilvl="0">
      <w:start w:val="1"/>
      <w:numFmt w:val="bullet"/>
      <w:pStyle w:val="Listaconvietas5"/>
      <w:lvlText w:val=""/>
      <w:lvlJc w:val="left"/>
      <w:pPr>
        <w:tabs>
          <w:tab w:val="num" w:pos="1492"/>
        </w:tabs>
        <w:ind w:left="1492" w:hanging="360"/>
      </w:pPr>
      <w:rPr>
        <w:rFonts w:ascii="Symbol" w:hAnsi="Symbol" w:hint="default"/>
      </w:rPr>
    </w:lvl>
  </w:abstractNum>
  <w:abstractNum w:abstractNumId="2">
    <w:nsid w:val="040555DB"/>
    <w:multiLevelType w:val="hybridMultilevel"/>
    <w:tmpl w:val="FE6AC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5652B5"/>
    <w:multiLevelType w:val="multilevel"/>
    <w:tmpl w:val="B10A6748"/>
    <w:lvl w:ilvl="0">
      <w:start w:val="1"/>
      <w:numFmt w:val="decimal"/>
      <w:pStyle w:val="Listaconnmeros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0CC93A83"/>
    <w:multiLevelType w:val="hybridMultilevel"/>
    <w:tmpl w:val="FADA0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262685D"/>
    <w:multiLevelType w:val="singleLevel"/>
    <w:tmpl w:val="D96C95A2"/>
    <w:lvl w:ilvl="0">
      <w:start w:val="1"/>
      <w:numFmt w:val="bullet"/>
      <w:pStyle w:val="Listaconvietas4"/>
      <w:lvlText w:val=""/>
      <w:lvlJc w:val="left"/>
      <w:pPr>
        <w:tabs>
          <w:tab w:val="num" w:pos="3163"/>
        </w:tabs>
        <w:ind w:left="3163" w:hanging="283"/>
      </w:pPr>
      <w:rPr>
        <w:rFonts w:ascii="Symbol" w:hAnsi="Symbol"/>
      </w:rPr>
    </w:lvl>
  </w:abstractNum>
  <w:abstractNum w:abstractNumId="6">
    <w:nsid w:val="134E496C"/>
    <w:multiLevelType w:val="hybridMultilevel"/>
    <w:tmpl w:val="CA3ACED4"/>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nsid w:val="143D0A16"/>
    <w:multiLevelType w:val="singleLevel"/>
    <w:tmpl w:val="01FA5668"/>
    <w:lvl w:ilvl="0">
      <w:start w:val="1"/>
      <w:numFmt w:val="bullet"/>
      <w:pStyle w:val="Listaconvietas3"/>
      <w:lvlText w:val=""/>
      <w:lvlJc w:val="left"/>
      <w:pPr>
        <w:tabs>
          <w:tab w:val="num" w:pos="2199"/>
        </w:tabs>
        <w:ind w:left="2199" w:hanging="283"/>
      </w:pPr>
      <w:rPr>
        <w:rFonts w:ascii="Symbol" w:hAnsi="Symbol"/>
      </w:rPr>
    </w:lvl>
  </w:abstractNum>
  <w:abstractNum w:abstractNumId="8">
    <w:nsid w:val="158E2B22"/>
    <w:multiLevelType w:val="hybridMultilevel"/>
    <w:tmpl w:val="C18EE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86459F1"/>
    <w:multiLevelType w:val="hybridMultilevel"/>
    <w:tmpl w:val="8698E3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1">
    <w:nsid w:val="28101C4F"/>
    <w:multiLevelType w:val="hybridMultilevel"/>
    <w:tmpl w:val="53FEB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C8D5AD3"/>
    <w:multiLevelType w:val="singleLevel"/>
    <w:tmpl w:val="82EE6B70"/>
    <w:lvl w:ilvl="0">
      <w:start w:val="1"/>
      <w:numFmt w:val="bullet"/>
      <w:pStyle w:val="Listaconvietas2"/>
      <w:lvlText w:val=""/>
      <w:lvlJc w:val="left"/>
      <w:pPr>
        <w:tabs>
          <w:tab w:val="num" w:pos="1360"/>
        </w:tabs>
        <w:ind w:left="1360" w:hanging="283"/>
      </w:pPr>
      <w:rPr>
        <w:rFonts w:ascii="Symbol" w:hAnsi="Symbol"/>
      </w:rPr>
    </w:lvl>
  </w:abstractNum>
  <w:abstractNum w:abstractNumId="13">
    <w:nsid w:val="305A1D83"/>
    <w:multiLevelType w:val="hybridMultilevel"/>
    <w:tmpl w:val="B92A0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15">
    <w:nsid w:val="428415E7"/>
    <w:multiLevelType w:val="multilevel"/>
    <w:tmpl w:val="92100ADA"/>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45481EA4"/>
    <w:multiLevelType w:val="multilevel"/>
    <w:tmpl w:val="28525E6E"/>
    <w:lvl w:ilvl="0">
      <w:start w:val="1"/>
      <w:numFmt w:val="decimal"/>
      <w:pStyle w:val="Listaconnmeros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48860AAB"/>
    <w:multiLevelType w:val="multilevel"/>
    <w:tmpl w:val="E8744BD2"/>
    <w:lvl w:ilvl="0">
      <w:start w:val="1"/>
      <w:numFmt w:val="decimal"/>
      <w:pStyle w:val="Listaconnmeros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A432656"/>
    <w:multiLevelType w:val="multilevel"/>
    <w:tmpl w:val="AC885D7A"/>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316"/>
        </w:tabs>
        <w:ind w:left="316" w:hanging="600"/>
      </w:pPr>
    </w:lvl>
    <w:lvl w:ilvl="2">
      <w:start w:val="1"/>
      <w:numFmt w:val="decimal"/>
      <w:pStyle w:val="Ttulo3"/>
      <w:lvlText w:val="%1.%2.%3."/>
      <w:lvlJc w:val="left"/>
      <w:pPr>
        <w:tabs>
          <w:tab w:val="num" w:pos="360"/>
        </w:tabs>
        <w:ind w:left="360" w:hanging="840"/>
      </w:pPr>
    </w:lvl>
    <w:lvl w:ilvl="3">
      <w:start w:val="1"/>
      <w:numFmt w:val="decimal"/>
      <w:pStyle w:val="Ttulo4"/>
      <w:lvlText w:val="%1.%2.%3.%4."/>
      <w:lvlJc w:val="left"/>
      <w:pPr>
        <w:tabs>
          <w:tab w:val="num" w:pos="1320"/>
        </w:tabs>
        <w:ind w:left="1320" w:hanging="960"/>
      </w:pPr>
    </w:lvl>
    <w:lvl w:ilvl="4">
      <w:start w:val="1"/>
      <w:numFmt w:val="lowerLetter"/>
      <w:lvlText w:val="(%5)"/>
      <w:lvlJc w:val="left"/>
      <w:pPr>
        <w:tabs>
          <w:tab w:val="num" w:pos="240"/>
        </w:tabs>
        <w:ind w:left="240" w:hanging="360"/>
      </w:pPr>
    </w:lvl>
    <w:lvl w:ilvl="5">
      <w:start w:val="1"/>
      <w:numFmt w:val="lowerRoman"/>
      <w:lvlText w:val="(%6)"/>
      <w:lvlJc w:val="left"/>
      <w:pPr>
        <w:tabs>
          <w:tab w:val="num" w:pos="600"/>
        </w:tabs>
        <w:ind w:left="600" w:hanging="360"/>
      </w:pPr>
    </w:lvl>
    <w:lvl w:ilvl="6">
      <w:start w:val="1"/>
      <w:numFmt w:val="decimal"/>
      <w:lvlText w:val="%7."/>
      <w:lvlJc w:val="left"/>
      <w:pPr>
        <w:tabs>
          <w:tab w:val="num" w:pos="960"/>
        </w:tabs>
        <w:ind w:left="960" w:hanging="360"/>
      </w:pPr>
    </w:lvl>
    <w:lvl w:ilvl="7">
      <w:start w:val="1"/>
      <w:numFmt w:val="lowerLetter"/>
      <w:lvlText w:val="%8."/>
      <w:lvlJc w:val="left"/>
      <w:pPr>
        <w:tabs>
          <w:tab w:val="num" w:pos="1320"/>
        </w:tabs>
        <w:ind w:left="1320" w:hanging="360"/>
      </w:pPr>
    </w:lvl>
    <w:lvl w:ilvl="8">
      <w:start w:val="1"/>
      <w:numFmt w:val="lowerRoman"/>
      <w:lvlText w:val="%9."/>
      <w:lvlJc w:val="left"/>
      <w:pPr>
        <w:tabs>
          <w:tab w:val="num" w:pos="1680"/>
        </w:tabs>
        <w:ind w:left="1680" w:hanging="360"/>
      </w:pPr>
    </w:lvl>
  </w:abstractNum>
  <w:abstractNum w:abstractNumId="20">
    <w:nsid w:val="50517E1F"/>
    <w:multiLevelType w:val="hybridMultilevel"/>
    <w:tmpl w:val="A1F6E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4BD0BEC"/>
    <w:multiLevelType w:val="singleLevel"/>
    <w:tmpl w:val="72D6F376"/>
    <w:lvl w:ilvl="0">
      <w:start w:val="1"/>
      <w:numFmt w:val="bullet"/>
      <w:pStyle w:val="Listaconvietas"/>
      <w:lvlText w:val=""/>
      <w:lvlJc w:val="left"/>
      <w:pPr>
        <w:tabs>
          <w:tab w:val="num" w:pos="283"/>
        </w:tabs>
        <w:ind w:left="283" w:hanging="283"/>
      </w:pPr>
      <w:rPr>
        <w:rFonts w:ascii="Symbol" w:hAnsi="Symbol"/>
      </w:rPr>
    </w:lvl>
  </w:abstractNum>
  <w:abstractNum w:abstractNumId="22">
    <w:nsid w:val="54D10AB0"/>
    <w:multiLevelType w:val="singleLevel"/>
    <w:tmpl w:val="5B50620E"/>
    <w:lvl w:ilvl="0">
      <w:start w:val="1"/>
      <w:numFmt w:val="bullet"/>
      <w:lvlText w:val="–"/>
      <w:lvlJc w:val="left"/>
      <w:pPr>
        <w:tabs>
          <w:tab w:val="num" w:pos="1485"/>
        </w:tabs>
        <w:ind w:left="1485" w:hanging="283"/>
      </w:pPr>
      <w:rPr>
        <w:rFonts w:ascii="Times New Roman" w:hAnsi="Times New Roman"/>
      </w:rPr>
    </w:lvl>
  </w:abstractNum>
  <w:abstractNum w:abstractNumId="23">
    <w:nsid w:val="597F2266"/>
    <w:multiLevelType w:val="hybridMultilevel"/>
    <w:tmpl w:val="C116E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057433F"/>
    <w:multiLevelType w:val="singleLevel"/>
    <w:tmpl w:val="3D5ECD48"/>
    <w:lvl w:ilvl="0">
      <w:start w:val="1"/>
      <w:numFmt w:val="bullet"/>
      <w:lvlText w:val="–"/>
      <w:lvlJc w:val="left"/>
      <w:pPr>
        <w:tabs>
          <w:tab w:val="num" w:pos="3544"/>
        </w:tabs>
        <w:ind w:left="3544" w:hanging="283"/>
      </w:pPr>
      <w:rPr>
        <w:rFonts w:ascii="Times New Roman" w:hAnsi="Times New Roman"/>
      </w:rPr>
    </w:lvl>
  </w:abstractNum>
  <w:abstractNum w:abstractNumId="25">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26">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27">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28">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29">
    <w:nsid w:val="7B105D68"/>
    <w:multiLevelType w:val="hybridMultilevel"/>
    <w:tmpl w:val="42E49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9"/>
  </w:num>
  <w:num w:numId="4">
    <w:abstractNumId w:val="21"/>
  </w:num>
  <w:num w:numId="5">
    <w:abstractNumId w:val="14"/>
  </w:num>
  <w:num w:numId="6">
    <w:abstractNumId w:val="12"/>
  </w:num>
  <w:num w:numId="7">
    <w:abstractNumId w:val="7"/>
  </w:num>
  <w:num w:numId="8">
    <w:abstractNumId w:val="5"/>
  </w:num>
  <w:num w:numId="9">
    <w:abstractNumId w:val="25"/>
  </w:num>
  <w:num w:numId="10">
    <w:abstractNumId w:val="27"/>
  </w:num>
  <w:num w:numId="11">
    <w:abstractNumId w:val="26"/>
  </w:num>
  <w:num w:numId="12">
    <w:abstractNumId w:val="28"/>
  </w:num>
  <w:num w:numId="13">
    <w:abstractNumId w:val="10"/>
  </w:num>
  <w:num w:numId="14">
    <w:abstractNumId w:val="15"/>
  </w:num>
  <w:num w:numId="15">
    <w:abstractNumId w:val="17"/>
  </w:num>
  <w:num w:numId="16">
    <w:abstractNumId w:val="16"/>
  </w:num>
  <w:num w:numId="17">
    <w:abstractNumId w:val="3"/>
  </w:num>
  <w:num w:numId="18">
    <w:abstractNumId w:val="18"/>
  </w:num>
  <w:num w:numId="19">
    <w:abstractNumId w:val="2"/>
  </w:num>
  <w:num w:numId="20">
    <w:abstractNumId w:val="8"/>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20"/>
  </w:num>
  <w:num w:numId="24">
    <w:abstractNumId w:val="24"/>
  </w:num>
  <w:num w:numId="25">
    <w:abstractNumId w:val="22"/>
  </w:num>
  <w:num w:numId="26">
    <w:abstractNumId w:val="27"/>
  </w:num>
  <w:num w:numId="27">
    <w:abstractNumId w:val="19"/>
  </w:num>
  <w:num w:numId="28">
    <w:abstractNumId w:val="19"/>
  </w:num>
  <w:num w:numId="29">
    <w:abstractNumId w:val="19"/>
  </w:num>
  <w:num w:numId="30">
    <w:abstractNumId w:val="19"/>
  </w:num>
  <w:num w:numId="31">
    <w:abstractNumId w:val="19"/>
  </w:num>
  <w:num w:numId="32">
    <w:abstractNumId w:val="19"/>
  </w:num>
  <w:num w:numId="33">
    <w:abstractNumId w:val="19"/>
  </w:num>
  <w:num w:numId="34">
    <w:abstractNumId w:val="19"/>
  </w:num>
  <w:num w:numId="35">
    <w:abstractNumId w:val="19"/>
  </w:num>
  <w:num w:numId="36">
    <w:abstractNumId w:val="19"/>
  </w:num>
  <w:num w:numId="37">
    <w:abstractNumId w:val="19"/>
  </w:num>
  <w:num w:numId="38">
    <w:abstractNumId w:val="9"/>
  </w:num>
  <w:num w:numId="39">
    <w:abstractNumId w:val="29"/>
  </w:num>
  <w:num w:numId="40">
    <w:abstractNumId w:val="11"/>
  </w:num>
  <w:num w:numId="41">
    <w:abstractNumId w:val="4"/>
  </w:num>
  <w:num w:numId="42">
    <w:abstractNumId w:val="23"/>
  </w:num>
  <w:num w:numId="43">
    <w:abstractNumId w:val="19"/>
  </w:num>
  <w:num w:numId="44">
    <w:abstractNumId w:val="19"/>
  </w:num>
  <w:num w:numId="45">
    <w:abstractNumId w:val="19"/>
  </w:num>
  <w:num w:numId="46">
    <w:abstractNumId w:val="19"/>
  </w:num>
  <w:num w:numId="47">
    <w:abstractNumId w:val="19"/>
  </w:num>
  <w:num w:numId="48">
    <w:abstractNumId w:val="19"/>
  </w:num>
  <w:num w:numId="49">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T"/>
  </w:docVars>
  <w:rsids>
    <w:rsidRoot w:val="002170FF"/>
    <w:rsid w:val="00003D81"/>
    <w:rsid w:val="00006B38"/>
    <w:rsid w:val="000079F4"/>
    <w:rsid w:val="00020005"/>
    <w:rsid w:val="00023128"/>
    <w:rsid w:val="00025630"/>
    <w:rsid w:val="00034DEA"/>
    <w:rsid w:val="00037409"/>
    <w:rsid w:val="00044497"/>
    <w:rsid w:val="000570C2"/>
    <w:rsid w:val="000642A1"/>
    <w:rsid w:val="00071092"/>
    <w:rsid w:val="00084426"/>
    <w:rsid w:val="000873FA"/>
    <w:rsid w:val="00087D91"/>
    <w:rsid w:val="000902E7"/>
    <w:rsid w:val="00093507"/>
    <w:rsid w:val="00093B73"/>
    <w:rsid w:val="0009464D"/>
    <w:rsid w:val="000A71BB"/>
    <w:rsid w:val="000B17B3"/>
    <w:rsid w:val="000C0CE1"/>
    <w:rsid w:val="000C4953"/>
    <w:rsid w:val="000D6E24"/>
    <w:rsid w:val="000E28C2"/>
    <w:rsid w:val="000E41FC"/>
    <w:rsid w:val="000F69A0"/>
    <w:rsid w:val="000F744C"/>
    <w:rsid w:val="0011086A"/>
    <w:rsid w:val="00111F79"/>
    <w:rsid w:val="00123917"/>
    <w:rsid w:val="00127D57"/>
    <w:rsid w:val="0014723C"/>
    <w:rsid w:val="00147D71"/>
    <w:rsid w:val="0015563F"/>
    <w:rsid w:val="001648C0"/>
    <w:rsid w:val="00165CE2"/>
    <w:rsid w:val="0018573B"/>
    <w:rsid w:val="00192B6C"/>
    <w:rsid w:val="0019697C"/>
    <w:rsid w:val="00196AD9"/>
    <w:rsid w:val="001A0392"/>
    <w:rsid w:val="001A0457"/>
    <w:rsid w:val="001B3DEA"/>
    <w:rsid w:val="001C3454"/>
    <w:rsid w:val="001E1B72"/>
    <w:rsid w:val="001E5501"/>
    <w:rsid w:val="001E5C26"/>
    <w:rsid w:val="001F27A6"/>
    <w:rsid w:val="001F7C9C"/>
    <w:rsid w:val="00206977"/>
    <w:rsid w:val="002135F5"/>
    <w:rsid w:val="00214691"/>
    <w:rsid w:val="002170FF"/>
    <w:rsid w:val="00227243"/>
    <w:rsid w:val="00231F38"/>
    <w:rsid w:val="0024062E"/>
    <w:rsid w:val="00246A1C"/>
    <w:rsid w:val="00247224"/>
    <w:rsid w:val="00252E73"/>
    <w:rsid w:val="0025426D"/>
    <w:rsid w:val="002601BD"/>
    <w:rsid w:val="00262293"/>
    <w:rsid w:val="002628B6"/>
    <w:rsid w:val="002632A5"/>
    <w:rsid w:val="0026661F"/>
    <w:rsid w:val="00271C19"/>
    <w:rsid w:val="00282DDF"/>
    <w:rsid w:val="002834B4"/>
    <w:rsid w:val="0028427C"/>
    <w:rsid w:val="00285E8D"/>
    <w:rsid w:val="00285F01"/>
    <w:rsid w:val="00286D35"/>
    <w:rsid w:val="002C005D"/>
    <w:rsid w:val="002C1114"/>
    <w:rsid w:val="002D5033"/>
    <w:rsid w:val="002E0958"/>
    <w:rsid w:val="002E0F75"/>
    <w:rsid w:val="002F4498"/>
    <w:rsid w:val="00300CC3"/>
    <w:rsid w:val="003022C6"/>
    <w:rsid w:val="00302707"/>
    <w:rsid w:val="003036CA"/>
    <w:rsid w:val="00320D3B"/>
    <w:rsid w:val="003324B3"/>
    <w:rsid w:val="00332AD4"/>
    <w:rsid w:val="00337236"/>
    <w:rsid w:val="003404FC"/>
    <w:rsid w:val="00343994"/>
    <w:rsid w:val="00346176"/>
    <w:rsid w:val="00360177"/>
    <w:rsid w:val="00362F95"/>
    <w:rsid w:val="00364A83"/>
    <w:rsid w:val="0037187C"/>
    <w:rsid w:val="00371D4A"/>
    <w:rsid w:val="0038798F"/>
    <w:rsid w:val="0039102B"/>
    <w:rsid w:val="00395B97"/>
    <w:rsid w:val="00397D55"/>
    <w:rsid w:val="003A185F"/>
    <w:rsid w:val="003A272E"/>
    <w:rsid w:val="003A540E"/>
    <w:rsid w:val="003A7CE2"/>
    <w:rsid w:val="003B24B1"/>
    <w:rsid w:val="003C3573"/>
    <w:rsid w:val="003D02CC"/>
    <w:rsid w:val="003D0F13"/>
    <w:rsid w:val="003D28D4"/>
    <w:rsid w:val="003E2C7F"/>
    <w:rsid w:val="003E5E92"/>
    <w:rsid w:val="003F0D3E"/>
    <w:rsid w:val="003F10EB"/>
    <w:rsid w:val="003F616B"/>
    <w:rsid w:val="004207CD"/>
    <w:rsid w:val="00430005"/>
    <w:rsid w:val="00435E6A"/>
    <w:rsid w:val="00463476"/>
    <w:rsid w:val="0047461E"/>
    <w:rsid w:val="00482174"/>
    <w:rsid w:val="00484137"/>
    <w:rsid w:val="00491A27"/>
    <w:rsid w:val="00492A4C"/>
    <w:rsid w:val="004961EA"/>
    <w:rsid w:val="004A3BB9"/>
    <w:rsid w:val="004A559D"/>
    <w:rsid w:val="004B30B8"/>
    <w:rsid w:val="004B4DBA"/>
    <w:rsid w:val="004B6CDF"/>
    <w:rsid w:val="004D09CA"/>
    <w:rsid w:val="004D21BF"/>
    <w:rsid w:val="004D7349"/>
    <w:rsid w:val="004E14D2"/>
    <w:rsid w:val="00501E37"/>
    <w:rsid w:val="00527782"/>
    <w:rsid w:val="00533EA0"/>
    <w:rsid w:val="00546396"/>
    <w:rsid w:val="00561B50"/>
    <w:rsid w:val="00562E4E"/>
    <w:rsid w:val="00563956"/>
    <w:rsid w:val="005763A6"/>
    <w:rsid w:val="00584BE3"/>
    <w:rsid w:val="00584FFA"/>
    <w:rsid w:val="0059188B"/>
    <w:rsid w:val="005A128B"/>
    <w:rsid w:val="005A13CA"/>
    <w:rsid w:val="005A348A"/>
    <w:rsid w:val="005A44EF"/>
    <w:rsid w:val="005A59D5"/>
    <w:rsid w:val="005A7388"/>
    <w:rsid w:val="005B4D6E"/>
    <w:rsid w:val="005E3B90"/>
    <w:rsid w:val="0060212E"/>
    <w:rsid w:val="00611060"/>
    <w:rsid w:val="00611DFC"/>
    <w:rsid w:val="006174AF"/>
    <w:rsid w:val="0062635D"/>
    <w:rsid w:val="00634E3E"/>
    <w:rsid w:val="00640E44"/>
    <w:rsid w:val="00652432"/>
    <w:rsid w:val="006550D6"/>
    <w:rsid w:val="006642A9"/>
    <w:rsid w:val="00672AF0"/>
    <w:rsid w:val="00675BA8"/>
    <w:rsid w:val="00677356"/>
    <w:rsid w:val="0068313F"/>
    <w:rsid w:val="006875D6"/>
    <w:rsid w:val="006909CD"/>
    <w:rsid w:val="00692617"/>
    <w:rsid w:val="00696466"/>
    <w:rsid w:val="006A0F2A"/>
    <w:rsid w:val="006B4C5F"/>
    <w:rsid w:val="006C33F9"/>
    <w:rsid w:val="006C6559"/>
    <w:rsid w:val="006F17E7"/>
    <w:rsid w:val="006F627B"/>
    <w:rsid w:val="00716A4F"/>
    <w:rsid w:val="0073025D"/>
    <w:rsid w:val="00744324"/>
    <w:rsid w:val="00751B98"/>
    <w:rsid w:val="00760E89"/>
    <w:rsid w:val="00767839"/>
    <w:rsid w:val="00770789"/>
    <w:rsid w:val="00776501"/>
    <w:rsid w:val="00777B54"/>
    <w:rsid w:val="007808D1"/>
    <w:rsid w:val="00785AFC"/>
    <w:rsid w:val="0078787B"/>
    <w:rsid w:val="007A4C98"/>
    <w:rsid w:val="007A558E"/>
    <w:rsid w:val="007B3234"/>
    <w:rsid w:val="007C2754"/>
    <w:rsid w:val="007C5410"/>
    <w:rsid w:val="007D05E3"/>
    <w:rsid w:val="007D29BC"/>
    <w:rsid w:val="007D63FA"/>
    <w:rsid w:val="007F2037"/>
    <w:rsid w:val="007F2241"/>
    <w:rsid w:val="007F6038"/>
    <w:rsid w:val="00800622"/>
    <w:rsid w:val="00810067"/>
    <w:rsid w:val="0081642C"/>
    <w:rsid w:val="00822058"/>
    <w:rsid w:val="0082523B"/>
    <w:rsid w:val="00831D68"/>
    <w:rsid w:val="008339A1"/>
    <w:rsid w:val="00843FD0"/>
    <w:rsid w:val="00845CF6"/>
    <w:rsid w:val="00845E2A"/>
    <w:rsid w:val="008516EB"/>
    <w:rsid w:val="00853733"/>
    <w:rsid w:val="008551BF"/>
    <w:rsid w:val="00862B9F"/>
    <w:rsid w:val="0086392B"/>
    <w:rsid w:val="00867060"/>
    <w:rsid w:val="008A1E2E"/>
    <w:rsid w:val="008A5A26"/>
    <w:rsid w:val="008B0741"/>
    <w:rsid w:val="008B5DC8"/>
    <w:rsid w:val="008C6141"/>
    <w:rsid w:val="008E4524"/>
    <w:rsid w:val="008E6120"/>
    <w:rsid w:val="008E62F3"/>
    <w:rsid w:val="009169F7"/>
    <w:rsid w:val="009261E9"/>
    <w:rsid w:val="00930C6B"/>
    <w:rsid w:val="00931C9A"/>
    <w:rsid w:val="00936848"/>
    <w:rsid w:val="00942B75"/>
    <w:rsid w:val="009622E5"/>
    <w:rsid w:val="00963073"/>
    <w:rsid w:val="00964901"/>
    <w:rsid w:val="00976669"/>
    <w:rsid w:val="00980CE3"/>
    <w:rsid w:val="0098185E"/>
    <w:rsid w:val="00986499"/>
    <w:rsid w:val="00996350"/>
    <w:rsid w:val="009A1518"/>
    <w:rsid w:val="009C2314"/>
    <w:rsid w:val="009D03E4"/>
    <w:rsid w:val="009E3FAB"/>
    <w:rsid w:val="009F5FA4"/>
    <w:rsid w:val="00A320E2"/>
    <w:rsid w:val="00A3224C"/>
    <w:rsid w:val="00A35BB2"/>
    <w:rsid w:val="00A365C7"/>
    <w:rsid w:val="00A451E7"/>
    <w:rsid w:val="00A47E97"/>
    <w:rsid w:val="00A52681"/>
    <w:rsid w:val="00A64114"/>
    <w:rsid w:val="00A64A09"/>
    <w:rsid w:val="00A72B66"/>
    <w:rsid w:val="00A855FA"/>
    <w:rsid w:val="00A861DE"/>
    <w:rsid w:val="00AA41DC"/>
    <w:rsid w:val="00AA47AA"/>
    <w:rsid w:val="00AB1C14"/>
    <w:rsid w:val="00AB5430"/>
    <w:rsid w:val="00AC7E37"/>
    <w:rsid w:val="00AD2461"/>
    <w:rsid w:val="00AE1770"/>
    <w:rsid w:val="00AE2E55"/>
    <w:rsid w:val="00AF31E8"/>
    <w:rsid w:val="00B014F8"/>
    <w:rsid w:val="00B24C5C"/>
    <w:rsid w:val="00B35097"/>
    <w:rsid w:val="00B441D0"/>
    <w:rsid w:val="00B453EC"/>
    <w:rsid w:val="00B5288C"/>
    <w:rsid w:val="00B53501"/>
    <w:rsid w:val="00B63AEC"/>
    <w:rsid w:val="00B76D30"/>
    <w:rsid w:val="00B819AB"/>
    <w:rsid w:val="00B84DDB"/>
    <w:rsid w:val="00B86A54"/>
    <w:rsid w:val="00B96F66"/>
    <w:rsid w:val="00B97371"/>
    <w:rsid w:val="00BB2315"/>
    <w:rsid w:val="00BB785E"/>
    <w:rsid w:val="00BD3BFE"/>
    <w:rsid w:val="00BE01A1"/>
    <w:rsid w:val="00BF2060"/>
    <w:rsid w:val="00BF3C5D"/>
    <w:rsid w:val="00C10D9A"/>
    <w:rsid w:val="00C15E3B"/>
    <w:rsid w:val="00C268D1"/>
    <w:rsid w:val="00C3146F"/>
    <w:rsid w:val="00C34846"/>
    <w:rsid w:val="00C37929"/>
    <w:rsid w:val="00C47D8C"/>
    <w:rsid w:val="00C513DC"/>
    <w:rsid w:val="00C6647B"/>
    <w:rsid w:val="00C72238"/>
    <w:rsid w:val="00CA64A0"/>
    <w:rsid w:val="00CC40FD"/>
    <w:rsid w:val="00CC49DB"/>
    <w:rsid w:val="00CD66C1"/>
    <w:rsid w:val="00CD70D0"/>
    <w:rsid w:val="00CE0B29"/>
    <w:rsid w:val="00CE7B0B"/>
    <w:rsid w:val="00D008E5"/>
    <w:rsid w:val="00D12653"/>
    <w:rsid w:val="00D258DC"/>
    <w:rsid w:val="00D355C5"/>
    <w:rsid w:val="00D401AA"/>
    <w:rsid w:val="00D47935"/>
    <w:rsid w:val="00D547DB"/>
    <w:rsid w:val="00D550DD"/>
    <w:rsid w:val="00D74E04"/>
    <w:rsid w:val="00D938CE"/>
    <w:rsid w:val="00DA645D"/>
    <w:rsid w:val="00DB498D"/>
    <w:rsid w:val="00DB72DF"/>
    <w:rsid w:val="00DC1DA4"/>
    <w:rsid w:val="00DC5036"/>
    <w:rsid w:val="00DD476B"/>
    <w:rsid w:val="00DE1A42"/>
    <w:rsid w:val="00DE773F"/>
    <w:rsid w:val="00DF3A45"/>
    <w:rsid w:val="00E05AE5"/>
    <w:rsid w:val="00E166C7"/>
    <w:rsid w:val="00E168A7"/>
    <w:rsid w:val="00E25620"/>
    <w:rsid w:val="00E27DDE"/>
    <w:rsid w:val="00E326EF"/>
    <w:rsid w:val="00E32F92"/>
    <w:rsid w:val="00E376AD"/>
    <w:rsid w:val="00E4705F"/>
    <w:rsid w:val="00E6370D"/>
    <w:rsid w:val="00E66D3C"/>
    <w:rsid w:val="00E86B67"/>
    <w:rsid w:val="00E93F66"/>
    <w:rsid w:val="00EA0465"/>
    <w:rsid w:val="00EA0C57"/>
    <w:rsid w:val="00EA25BE"/>
    <w:rsid w:val="00EB56FB"/>
    <w:rsid w:val="00EC3AB9"/>
    <w:rsid w:val="00ED01C7"/>
    <w:rsid w:val="00ED2195"/>
    <w:rsid w:val="00ED29B0"/>
    <w:rsid w:val="00ED7E30"/>
    <w:rsid w:val="00EE41D3"/>
    <w:rsid w:val="00EE5DF7"/>
    <w:rsid w:val="00EF0549"/>
    <w:rsid w:val="00EF6A48"/>
    <w:rsid w:val="00F00764"/>
    <w:rsid w:val="00F141D9"/>
    <w:rsid w:val="00F177AB"/>
    <w:rsid w:val="00F413BD"/>
    <w:rsid w:val="00F64852"/>
    <w:rsid w:val="00F65541"/>
    <w:rsid w:val="00F669DB"/>
    <w:rsid w:val="00F9255B"/>
    <w:rsid w:val="00F92835"/>
    <w:rsid w:val="00F94397"/>
    <w:rsid w:val="00FA69C7"/>
    <w:rsid w:val="00FB083C"/>
    <w:rsid w:val="00FC2E26"/>
    <w:rsid w:val="00FC599C"/>
    <w:rsid w:val="00FC5D26"/>
    <w:rsid w:val="00FD0992"/>
    <w:rsid w:val="00FD0A1E"/>
    <w:rsid w:val="00FD5204"/>
    <w:rsid w:val="00FE5782"/>
    <w:rsid w:val="00FF2416"/>
    <w:rsid w:val="00FF79E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spacing w:after="240"/>
      <w:jc w:val="both"/>
    </w:pPr>
    <w:rPr>
      <w:sz w:val="24"/>
      <w:lang w:eastAsia="en-US"/>
    </w:rPr>
  </w:style>
  <w:style w:type="paragraph" w:styleId="Ttulo1">
    <w:name w:val="heading 1"/>
    <w:basedOn w:val="Normal"/>
    <w:next w:val="Text1"/>
    <w:qFormat/>
    <w:pPr>
      <w:keepNext/>
      <w:numPr>
        <w:numId w:val="3"/>
      </w:numPr>
      <w:spacing w:before="240"/>
      <w:outlineLvl w:val="0"/>
    </w:pPr>
    <w:rPr>
      <w:b/>
      <w:smallCaps/>
    </w:rPr>
  </w:style>
  <w:style w:type="paragraph" w:styleId="Ttulo2">
    <w:name w:val="heading 2"/>
    <w:basedOn w:val="Normal"/>
    <w:next w:val="Text2"/>
    <w:link w:val="Ttulo2Car"/>
    <w:qFormat/>
    <w:pPr>
      <w:keepNext/>
      <w:numPr>
        <w:ilvl w:val="1"/>
        <w:numId w:val="3"/>
      </w:numPr>
      <w:tabs>
        <w:tab w:val="num" w:pos="1026"/>
      </w:tabs>
      <w:ind w:left="1026"/>
      <w:outlineLvl w:val="1"/>
    </w:pPr>
    <w:rPr>
      <w:b/>
    </w:rPr>
  </w:style>
  <w:style w:type="paragraph" w:styleId="Ttulo3">
    <w:name w:val="heading 3"/>
    <w:basedOn w:val="Normal"/>
    <w:next w:val="Text3"/>
    <w:qFormat/>
    <w:pPr>
      <w:keepNext/>
      <w:numPr>
        <w:ilvl w:val="2"/>
        <w:numId w:val="3"/>
      </w:numPr>
      <w:outlineLvl w:val="2"/>
    </w:pPr>
    <w:rPr>
      <w:i/>
    </w:rPr>
  </w:style>
  <w:style w:type="paragraph" w:styleId="Ttulo4">
    <w:name w:val="heading 4"/>
    <w:basedOn w:val="Normal"/>
    <w:next w:val="Text4"/>
    <w:qFormat/>
    <w:pPr>
      <w:keepNext/>
      <w:numPr>
        <w:ilvl w:val="3"/>
        <w:numId w:val="3"/>
      </w:numPr>
      <w:outlineLvl w:val="3"/>
    </w:pPr>
  </w:style>
  <w:style w:type="paragraph" w:styleId="Ttulo5">
    <w:name w:val="heading 5"/>
    <w:basedOn w:val="Normal"/>
    <w:next w:val="Normal"/>
    <w:qFormat/>
    <w:pPr>
      <w:spacing w:before="240" w:after="60"/>
      <w:ind w:left="3332" w:hanging="708"/>
      <w:outlineLvl w:val="4"/>
    </w:pPr>
    <w:rPr>
      <w:rFonts w:ascii="Arial" w:hAnsi="Arial"/>
      <w:sz w:val="22"/>
    </w:rPr>
  </w:style>
  <w:style w:type="paragraph" w:styleId="Ttulo6">
    <w:name w:val="heading 6"/>
    <w:basedOn w:val="Normal"/>
    <w:next w:val="Normal"/>
    <w:qFormat/>
    <w:pPr>
      <w:spacing w:before="240" w:after="60"/>
      <w:ind w:left="4040" w:hanging="708"/>
      <w:outlineLvl w:val="5"/>
    </w:pPr>
    <w:rPr>
      <w:rFonts w:ascii="Arial" w:hAnsi="Arial"/>
      <w:i/>
      <w:sz w:val="22"/>
    </w:rPr>
  </w:style>
  <w:style w:type="paragraph" w:styleId="Ttulo7">
    <w:name w:val="heading 7"/>
    <w:basedOn w:val="Normal"/>
    <w:next w:val="Normal"/>
    <w:qFormat/>
    <w:pPr>
      <w:spacing w:before="240" w:after="60"/>
      <w:ind w:left="4748" w:hanging="708"/>
      <w:outlineLvl w:val="6"/>
    </w:pPr>
    <w:rPr>
      <w:rFonts w:ascii="Arial" w:hAnsi="Arial"/>
      <w:sz w:val="20"/>
    </w:rPr>
  </w:style>
  <w:style w:type="paragraph" w:styleId="Ttulo8">
    <w:name w:val="heading 8"/>
    <w:basedOn w:val="Normal"/>
    <w:next w:val="Normal"/>
    <w:qFormat/>
    <w:pPr>
      <w:spacing w:before="240" w:after="60"/>
      <w:ind w:left="5456" w:hanging="708"/>
      <w:outlineLvl w:val="7"/>
    </w:pPr>
    <w:rPr>
      <w:rFonts w:ascii="Arial" w:hAnsi="Arial"/>
      <w:i/>
      <w:sz w:val="20"/>
    </w:rPr>
  </w:style>
  <w:style w:type="paragraph" w:styleId="Ttulo9">
    <w:name w:val="heading 9"/>
    <w:basedOn w:val="Normal"/>
    <w:next w:val="Normal"/>
    <w:qFormat/>
    <w:pPr>
      <w:spacing w:before="240" w:after="60"/>
      <w:ind w:left="6164" w:hanging="708"/>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160"/>
      </w:tabs>
      <w:ind w:left="1077"/>
    </w:pPr>
  </w:style>
  <w:style w:type="paragraph" w:customStyle="1" w:styleId="Text3">
    <w:name w:val="Text 3"/>
    <w:basedOn w:val="Normal"/>
    <w:pPr>
      <w:tabs>
        <w:tab w:val="left" w:pos="2302"/>
      </w:tabs>
      <w:ind w:left="1916"/>
    </w:pPr>
  </w:style>
  <w:style w:type="paragraph" w:customStyle="1" w:styleId="Text4">
    <w:name w:val="Text 4"/>
    <w:basedOn w:val="Normal"/>
    <w:pPr>
      <w:ind w:left="2880"/>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Textodebloque">
    <w:name w:val="Block Text"/>
    <w:basedOn w:val="Normal"/>
    <w:pPr>
      <w:spacing w:after="120"/>
      <w:ind w:left="1440" w:right="1440"/>
    </w:pPr>
  </w:style>
  <w:style w:type="paragraph" w:styleId="Textoindependiente">
    <w:name w:val="Body Text"/>
    <w:basedOn w:val="Normal"/>
    <w:pPr>
      <w:spacing w:after="120"/>
    </w:pPr>
  </w:style>
  <w:style w:type="paragraph" w:styleId="Textoindependiente2">
    <w:name w:val="Body Text 2"/>
    <w:basedOn w:val="Normal"/>
    <w:pPr>
      <w:spacing w:after="120" w:line="480" w:lineRule="auto"/>
    </w:pPr>
  </w:style>
  <w:style w:type="paragraph" w:styleId="Textoindependiente3">
    <w:name w:val="Body Text 3"/>
    <w:basedOn w:val="Normal"/>
    <w:pPr>
      <w:spacing w:after="120"/>
    </w:pPr>
    <w:rPr>
      <w:sz w:val="16"/>
    </w:rPr>
  </w:style>
  <w:style w:type="paragraph" w:styleId="Textoindependienteprimerasangra">
    <w:name w:val="Body Text First Indent"/>
    <w:basedOn w:val="Textoindependiente"/>
    <w:pPr>
      <w:ind w:firstLine="210"/>
    </w:pPr>
  </w:style>
  <w:style w:type="paragraph" w:styleId="Sangradetextonormal">
    <w:name w:val="Body Text Indent"/>
    <w:basedOn w:val="Normal"/>
    <w:pPr>
      <w:spacing w:after="120"/>
      <w:ind w:left="283"/>
    </w:pPr>
  </w:style>
  <w:style w:type="paragraph" w:styleId="Textoindependienteprimerasangra2">
    <w:name w:val="Body Text First Indent 2"/>
    <w:basedOn w:val="Sangradetextonormal"/>
    <w:pPr>
      <w:ind w:firstLine="210"/>
    </w:pPr>
  </w:style>
  <w:style w:type="paragraph" w:styleId="Sangra2detindependiente">
    <w:name w:val="Body Text Indent 2"/>
    <w:basedOn w:val="Normal"/>
    <w:pPr>
      <w:spacing w:after="120" w:line="480" w:lineRule="auto"/>
      <w:ind w:left="283"/>
    </w:pPr>
  </w:style>
  <w:style w:type="paragraph" w:styleId="Sangra3detindependiente">
    <w:name w:val="Body Text Indent 3"/>
    <w:basedOn w:val="Normal"/>
    <w:pPr>
      <w:spacing w:after="120"/>
      <w:ind w:left="283"/>
    </w:pPr>
    <w:rPr>
      <w:sz w:val="16"/>
    </w:rPr>
  </w:style>
  <w:style w:type="paragraph" w:styleId="Epgrafe">
    <w:name w:val="caption"/>
    <w:basedOn w:val="Normal"/>
    <w:next w:val="Normal"/>
    <w:qFormat/>
    <w:pPr>
      <w:spacing w:before="120" w:after="120"/>
    </w:pPr>
    <w:rPr>
      <w:b/>
    </w:rPr>
  </w:style>
  <w:style w:type="paragraph" w:styleId="Cierre">
    <w:name w:val="Closing"/>
    <w:basedOn w:val="Normal"/>
    <w:next w:val="Firma"/>
    <w:pPr>
      <w:tabs>
        <w:tab w:val="left" w:pos="5103"/>
      </w:tabs>
      <w:spacing w:before="240"/>
      <w:ind w:left="5103"/>
      <w:jc w:val="left"/>
    </w:pPr>
  </w:style>
  <w:style w:type="paragraph" w:styleId="Firma">
    <w:name w:val="Signature"/>
    <w:basedOn w:val="Normal"/>
    <w:next w:val="Contact"/>
    <w:link w:val="FirmaCar"/>
    <w:uiPriority w:val="99"/>
    <w:pPr>
      <w:tabs>
        <w:tab w:val="left" w:pos="5103"/>
      </w:tabs>
      <w:spacing w:before="1200" w:after="0"/>
      <w:ind w:left="5103"/>
      <w:jc w:val="center"/>
    </w:pPr>
  </w:style>
  <w:style w:type="paragraph" w:customStyle="1" w:styleId="Enclosures">
    <w:name w:val="Enclosures"/>
    <w:basedOn w:val="Normal"/>
    <w:next w:val="Participants"/>
    <w:pPr>
      <w:keepNext/>
      <w:keepLines/>
      <w:tabs>
        <w:tab w:val="left" w:pos="5670"/>
      </w:tabs>
      <w:spacing w:before="480" w:after="0"/>
      <w:ind w:left="1985" w:hanging="1985"/>
      <w:jc w:val="left"/>
    </w:pPr>
  </w:style>
  <w:style w:type="paragraph" w:customStyle="1" w:styleId="Participants">
    <w:name w:val="Participants"/>
    <w:basedOn w:val="Normal"/>
    <w:next w:val="Copies"/>
    <w:pPr>
      <w:tabs>
        <w:tab w:val="left" w:pos="2552"/>
        <w:tab w:val="left" w:pos="2835"/>
        <w:tab w:val="left" w:pos="5670"/>
        <w:tab w:val="left" w:pos="6379"/>
        <w:tab w:val="left" w:pos="6804"/>
      </w:tabs>
      <w:spacing w:before="480" w:after="0"/>
      <w:ind w:left="1985" w:hanging="1985"/>
      <w:jc w:val="left"/>
    </w:pPr>
  </w:style>
  <w:style w:type="paragraph" w:customStyle="1" w:styleId="Copies">
    <w:name w:val="Copies"/>
    <w:basedOn w:val="Normal"/>
    <w:next w:val="Normal"/>
    <w:pPr>
      <w:tabs>
        <w:tab w:val="left" w:pos="2552"/>
        <w:tab w:val="left" w:pos="2835"/>
        <w:tab w:val="left" w:pos="5670"/>
        <w:tab w:val="left" w:pos="6379"/>
        <w:tab w:val="left" w:pos="6804"/>
      </w:tabs>
      <w:spacing w:before="480" w:after="0"/>
      <w:ind w:left="1985" w:hanging="1985"/>
      <w:jc w:val="left"/>
    </w:pPr>
  </w:style>
  <w:style w:type="paragraph" w:styleId="Textocomentario">
    <w:name w:val="annotation text"/>
    <w:basedOn w:val="Normal"/>
    <w:link w:val="TextocomentarioCar"/>
    <w:semiHidden/>
    <w:rPr>
      <w:sz w:val="20"/>
    </w:rPr>
  </w:style>
  <w:style w:type="paragraph" w:styleId="Fecha">
    <w:name w:val="Date"/>
    <w:basedOn w:val="Normal"/>
    <w:next w:val="References"/>
    <w:link w:val="FechaCar"/>
    <w:uiPriority w:val="99"/>
    <w:pPr>
      <w:spacing w:after="0"/>
      <w:ind w:left="5103" w:right="-567"/>
      <w:jc w:val="left"/>
    </w:pPr>
  </w:style>
  <w:style w:type="paragraph" w:customStyle="1" w:styleId="References">
    <w:name w:val="References"/>
    <w:basedOn w:val="Normal"/>
    <w:next w:val="AddressTR"/>
    <w:uiPriority w:val="99"/>
    <w:pPr>
      <w:ind w:left="5103"/>
      <w:jc w:val="left"/>
    </w:pPr>
    <w:rPr>
      <w:sz w:val="20"/>
    </w:rPr>
  </w:style>
  <w:style w:type="paragraph" w:styleId="Mapadeldocumento">
    <w:name w:val="Document Map"/>
    <w:basedOn w:val="Normal"/>
    <w:semiHidden/>
    <w:pPr>
      <w:shd w:val="clear" w:color="auto" w:fill="000080"/>
    </w:pPr>
    <w:rPr>
      <w:rFonts w:ascii="Tahoma" w:hAnsi="Tahoma"/>
    </w:rPr>
  </w:style>
  <w:style w:type="paragraph" w:customStyle="1" w:styleId="DoubSign">
    <w:name w:val="DoubSign"/>
    <w:basedOn w:val="Normal"/>
    <w:next w:val="Contact"/>
    <w:pPr>
      <w:tabs>
        <w:tab w:val="left" w:pos="5103"/>
      </w:tabs>
      <w:spacing w:before="1200" w:after="0"/>
      <w:jc w:val="left"/>
    </w:pPr>
  </w:style>
  <w:style w:type="paragraph" w:styleId="Textonotaalfinal">
    <w:name w:val="endnote text"/>
    <w:basedOn w:val="Normal"/>
    <w:semiHidden/>
    <w:rPr>
      <w:sz w:val="20"/>
    </w:rPr>
  </w:style>
  <w:style w:type="paragraph" w:styleId="Direccinsobre">
    <w:name w:val="envelope address"/>
    <w:basedOn w:val="Normal"/>
    <w:pPr>
      <w:framePr w:w="7920" w:h="1980" w:hRule="exact" w:hSpace="180" w:wrap="auto" w:hAnchor="page" w:xAlign="center" w:yAlign="bottom"/>
      <w:spacing w:after="0"/>
    </w:pPr>
  </w:style>
  <w:style w:type="paragraph" w:styleId="Remitedesobre">
    <w:name w:val="envelope return"/>
    <w:basedOn w:val="Normal"/>
    <w:pPr>
      <w:spacing w:after="0"/>
    </w:pPr>
    <w:rPr>
      <w:sz w:val="20"/>
    </w:rPr>
  </w:style>
  <w:style w:type="paragraph" w:styleId="Piedepgina">
    <w:name w:val="footer"/>
    <w:basedOn w:val="Normal"/>
    <w:link w:val="PiedepginaCar"/>
    <w:uiPriority w:val="99"/>
    <w:pPr>
      <w:spacing w:after="0"/>
      <w:ind w:right="-567"/>
      <w:jc w:val="left"/>
    </w:pPr>
    <w:rPr>
      <w:rFonts w:ascii="Arial" w:hAnsi="Arial"/>
      <w:sz w:val="16"/>
    </w:rPr>
  </w:style>
  <w:style w:type="paragraph" w:styleId="Textonotapie">
    <w:name w:val="footnote text"/>
    <w:basedOn w:val="Normal"/>
    <w:link w:val="TextonotapieCar"/>
    <w:uiPriority w:val="99"/>
    <w:semiHidden/>
    <w:pPr>
      <w:ind w:left="357" w:hanging="357"/>
    </w:pPr>
    <w:rPr>
      <w:sz w:val="20"/>
    </w:rPr>
  </w:style>
  <w:style w:type="paragraph" w:styleId="Encabezado">
    <w:name w:val="header"/>
    <w:basedOn w:val="Normal"/>
    <w:link w:val="EncabezadoCar"/>
    <w:uiPriority w:val="99"/>
    <w:pPr>
      <w:tabs>
        <w:tab w:val="center" w:pos="4153"/>
        <w:tab w:val="right" w:pos="8306"/>
      </w:tabs>
    </w:pPr>
  </w:style>
  <w:style w:type="paragraph" w:styleId="ndice1">
    <w:name w:val="index 1"/>
    <w:basedOn w:val="Normal"/>
    <w:next w:val="Normal"/>
    <w:autoRedefine/>
    <w:semiHidden/>
    <w:pPr>
      <w:ind w:left="240" w:hanging="240"/>
    </w:pPr>
  </w:style>
  <w:style w:type="paragraph" w:styleId="ndice2">
    <w:name w:val="index 2"/>
    <w:basedOn w:val="Normal"/>
    <w:next w:val="Normal"/>
    <w:autoRedefine/>
    <w:semiHidden/>
    <w:pPr>
      <w:ind w:left="480" w:hanging="240"/>
    </w:pPr>
  </w:style>
  <w:style w:type="paragraph" w:styleId="ndice3">
    <w:name w:val="index 3"/>
    <w:basedOn w:val="Normal"/>
    <w:next w:val="Normal"/>
    <w:autoRedefine/>
    <w:semiHidden/>
    <w:pPr>
      <w:ind w:left="720" w:hanging="240"/>
    </w:pPr>
  </w:style>
  <w:style w:type="paragraph" w:styleId="ndice4">
    <w:name w:val="index 4"/>
    <w:basedOn w:val="Normal"/>
    <w:next w:val="Normal"/>
    <w:autoRedefine/>
    <w:semiHidden/>
    <w:pPr>
      <w:ind w:left="960" w:hanging="240"/>
    </w:pPr>
  </w:style>
  <w:style w:type="paragraph" w:styleId="ndice5">
    <w:name w:val="index 5"/>
    <w:basedOn w:val="Normal"/>
    <w:next w:val="Normal"/>
    <w:autoRedefine/>
    <w:semiHidden/>
    <w:pPr>
      <w:ind w:left="1200" w:hanging="240"/>
    </w:pPr>
  </w:style>
  <w:style w:type="paragraph" w:styleId="ndice6">
    <w:name w:val="index 6"/>
    <w:basedOn w:val="Normal"/>
    <w:next w:val="Normal"/>
    <w:autoRedefine/>
    <w:semiHidden/>
    <w:pPr>
      <w:ind w:left="1440" w:hanging="240"/>
    </w:pPr>
  </w:style>
  <w:style w:type="paragraph" w:styleId="ndice7">
    <w:name w:val="index 7"/>
    <w:basedOn w:val="Normal"/>
    <w:next w:val="Normal"/>
    <w:autoRedefine/>
    <w:semiHidden/>
    <w:pPr>
      <w:ind w:left="1680" w:hanging="240"/>
    </w:pPr>
  </w:style>
  <w:style w:type="paragraph" w:styleId="ndice8">
    <w:name w:val="index 8"/>
    <w:basedOn w:val="Normal"/>
    <w:next w:val="Normal"/>
    <w:autoRedefine/>
    <w:semiHidden/>
    <w:pPr>
      <w:ind w:left="1920" w:hanging="240"/>
    </w:pPr>
  </w:style>
  <w:style w:type="paragraph" w:styleId="ndice9">
    <w:name w:val="index 9"/>
    <w:basedOn w:val="Normal"/>
    <w:next w:val="Normal"/>
    <w:autoRedefine/>
    <w:semiHidden/>
    <w:pPr>
      <w:ind w:left="2160" w:hanging="240"/>
    </w:pPr>
  </w:style>
  <w:style w:type="paragraph" w:styleId="Ttulodendice">
    <w:name w:val="index heading"/>
    <w:basedOn w:val="Normal"/>
    <w:next w:val="ndice1"/>
    <w:semiHidden/>
    <w:rPr>
      <w:rFonts w:ascii="Arial" w:hAnsi="Arial"/>
      <w:b/>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Listaconvietas">
    <w:name w:val="List Bullet"/>
    <w:basedOn w:val="Normal"/>
    <w:pPr>
      <w:numPr>
        <w:numId w:val="4"/>
      </w:numPr>
    </w:pPr>
  </w:style>
  <w:style w:type="paragraph" w:styleId="Listaconvietas2">
    <w:name w:val="List Bullet 2"/>
    <w:basedOn w:val="Text2"/>
    <w:pPr>
      <w:numPr>
        <w:numId w:val="6"/>
      </w:numPr>
      <w:tabs>
        <w:tab w:val="clear" w:pos="2160"/>
      </w:tabs>
    </w:pPr>
  </w:style>
  <w:style w:type="paragraph" w:styleId="Listaconvietas3">
    <w:name w:val="List Bullet 3"/>
    <w:basedOn w:val="Text3"/>
    <w:pPr>
      <w:numPr>
        <w:numId w:val="7"/>
      </w:numPr>
      <w:tabs>
        <w:tab w:val="clear" w:pos="2302"/>
      </w:tabs>
    </w:pPr>
  </w:style>
  <w:style w:type="paragraph" w:styleId="Listaconvietas4">
    <w:name w:val="List Bullet 4"/>
    <w:basedOn w:val="Text4"/>
    <w:pPr>
      <w:numPr>
        <w:numId w:val="8"/>
      </w:numPr>
    </w:pPr>
  </w:style>
  <w:style w:type="paragraph" w:styleId="Listaconvietas5">
    <w:name w:val="List Bullet 5"/>
    <w:basedOn w:val="Normal"/>
    <w:autoRedefine/>
    <w:pPr>
      <w:numPr>
        <w:numId w:val="1"/>
      </w:numPr>
    </w:pPr>
  </w:style>
  <w:style w:type="paragraph" w:styleId="Continuarlista">
    <w:name w:val="List Continue"/>
    <w:basedOn w:val="Normal"/>
    <w:pPr>
      <w:spacing w:after="120"/>
      <w:ind w:left="283"/>
    </w:pPr>
  </w:style>
  <w:style w:type="paragraph" w:styleId="Continuarlista2">
    <w:name w:val="List Continue 2"/>
    <w:basedOn w:val="Normal"/>
    <w:pPr>
      <w:spacing w:after="120"/>
      <w:ind w:left="566"/>
    </w:pPr>
  </w:style>
  <w:style w:type="paragraph" w:styleId="Continuarlista3">
    <w:name w:val="List Continue 3"/>
    <w:basedOn w:val="Normal"/>
    <w:pPr>
      <w:spacing w:after="120"/>
      <w:ind w:left="849"/>
    </w:pPr>
  </w:style>
  <w:style w:type="paragraph" w:styleId="Continuarlista4">
    <w:name w:val="List Continue 4"/>
    <w:basedOn w:val="Normal"/>
    <w:pPr>
      <w:spacing w:after="120"/>
      <w:ind w:left="1132"/>
    </w:pPr>
  </w:style>
  <w:style w:type="paragraph" w:styleId="Continuarlista5">
    <w:name w:val="List Continue 5"/>
    <w:basedOn w:val="Normal"/>
    <w:pPr>
      <w:spacing w:after="120"/>
      <w:ind w:left="1415"/>
    </w:pPr>
  </w:style>
  <w:style w:type="paragraph" w:styleId="Listaconnmeros">
    <w:name w:val="List Number"/>
    <w:basedOn w:val="Normal"/>
    <w:pPr>
      <w:numPr>
        <w:numId w:val="14"/>
      </w:numPr>
    </w:pPr>
  </w:style>
  <w:style w:type="paragraph" w:styleId="Listaconnmeros2">
    <w:name w:val="List Number 2"/>
    <w:basedOn w:val="Text2"/>
    <w:pPr>
      <w:numPr>
        <w:numId w:val="16"/>
      </w:numPr>
      <w:tabs>
        <w:tab w:val="clear" w:pos="2160"/>
      </w:tabs>
    </w:pPr>
  </w:style>
  <w:style w:type="paragraph" w:styleId="Listaconnmeros3">
    <w:name w:val="List Number 3"/>
    <w:basedOn w:val="Text3"/>
    <w:pPr>
      <w:numPr>
        <w:numId w:val="17"/>
      </w:numPr>
      <w:tabs>
        <w:tab w:val="clear" w:pos="2302"/>
      </w:tabs>
    </w:pPr>
  </w:style>
  <w:style w:type="paragraph" w:styleId="Listaconnmeros4">
    <w:name w:val="List Number 4"/>
    <w:basedOn w:val="Text4"/>
    <w:pPr>
      <w:numPr>
        <w:numId w:val="18"/>
      </w:numPr>
    </w:pPr>
  </w:style>
  <w:style w:type="paragraph" w:styleId="Listaconnmeros5">
    <w:name w:val="List Number 5"/>
    <w:basedOn w:val="Normal"/>
    <w:pPr>
      <w:numPr>
        <w:numId w:val="2"/>
      </w:numPr>
    </w:pPr>
  </w:style>
  <w:style w:type="paragraph" w:styleId="Texto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cabezadodemensaj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angranormal">
    <w:name w:val="Normal Indent"/>
    <w:basedOn w:val="Normal"/>
    <w:pPr>
      <w:ind w:left="720"/>
    </w:pPr>
  </w:style>
  <w:style w:type="paragraph" w:styleId="Encabezadodenota">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tulo1"/>
    <w:next w:val="Text1"/>
    <w:pPr>
      <w:keepNext w:val="0"/>
      <w:spacing w:before="0"/>
      <w:outlineLvl w:val="9"/>
    </w:pPr>
    <w:rPr>
      <w:b w:val="0"/>
      <w:smallCaps w:val="0"/>
    </w:rPr>
  </w:style>
  <w:style w:type="paragraph" w:customStyle="1" w:styleId="NumPar2">
    <w:name w:val="NumPar 2"/>
    <w:basedOn w:val="Ttulo2"/>
    <w:next w:val="Text2"/>
    <w:pPr>
      <w:keepNext w:val="0"/>
      <w:outlineLvl w:val="9"/>
    </w:pPr>
    <w:rPr>
      <w:b w:val="0"/>
    </w:rPr>
  </w:style>
  <w:style w:type="paragraph" w:customStyle="1" w:styleId="NumPar3">
    <w:name w:val="NumPar 3"/>
    <w:basedOn w:val="Ttulo3"/>
    <w:next w:val="Text3"/>
    <w:pPr>
      <w:keepNext w:val="0"/>
      <w:outlineLvl w:val="9"/>
    </w:pPr>
    <w:rPr>
      <w:i w:val="0"/>
    </w:rPr>
  </w:style>
  <w:style w:type="paragraph" w:customStyle="1" w:styleId="NumPar4">
    <w:name w:val="NumPar 4"/>
    <w:basedOn w:val="Ttulo4"/>
    <w:next w:val="Text4"/>
    <w:pPr>
      <w:keepNext w:val="0"/>
      <w:outlineLvl w:val="9"/>
    </w:pPr>
  </w:style>
  <w:style w:type="paragraph" w:styleId="Textosinformato">
    <w:name w:val="Plain Text"/>
    <w:basedOn w:val="Normal"/>
    <w:rPr>
      <w:rFonts w:ascii="Courier New" w:hAnsi="Courier New"/>
      <w:sz w:val="20"/>
    </w:rPr>
  </w:style>
  <w:style w:type="paragraph" w:styleId="Saludo">
    <w:name w:val="Salutation"/>
    <w:basedOn w:val="Normal"/>
    <w:next w:val="Normal"/>
  </w:style>
  <w:style w:type="paragraph" w:styleId="Subttulo">
    <w:name w:val="Subtitle"/>
    <w:basedOn w:val="Normal"/>
    <w:qFormat/>
    <w:pPr>
      <w:spacing w:after="60"/>
      <w:jc w:val="center"/>
      <w:outlineLvl w:val="1"/>
    </w:pPr>
    <w:rPr>
      <w:rFonts w:ascii="Arial" w:hAnsi="Arial"/>
    </w:rPr>
  </w:style>
  <w:style w:type="paragraph" w:styleId="Textoconsangra">
    <w:name w:val="table of authorities"/>
    <w:basedOn w:val="Normal"/>
    <w:next w:val="Normal"/>
    <w:semiHidden/>
    <w:pPr>
      <w:ind w:left="240" w:hanging="240"/>
    </w:pPr>
  </w:style>
  <w:style w:type="paragraph" w:styleId="Tabladeilustraciones">
    <w:name w:val="table of figures"/>
    <w:basedOn w:val="Normal"/>
    <w:next w:val="Normal"/>
    <w:semiHidden/>
    <w:pPr>
      <w:ind w:left="480" w:hanging="480"/>
    </w:pPr>
  </w:style>
  <w:style w:type="paragraph" w:styleId="Ttulo">
    <w:name w:val="Title"/>
    <w:basedOn w:val="Normal"/>
    <w:qFormat/>
    <w:pPr>
      <w:spacing w:before="240" w:after="60"/>
      <w:jc w:val="center"/>
      <w:outlineLvl w:val="0"/>
    </w:pPr>
    <w:rPr>
      <w:rFonts w:ascii="Arial" w:hAnsi="Arial"/>
      <w:b/>
      <w:kern w:val="28"/>
      <w:sz w:val="32"/>
    </w:rPr>
  </w:style>
  <w:style w:type="paragraph" w:styleId="Encabezadodelista">
    <w:name w:val="toa heading"/>
    <w:basedOn w:val="Normal"/>
    <w:next w:val="Normal"/>
    <w:semiHidden/>
    <w:pPr>
      <w:spacing w:before="120"/>
    </w:pPr>
    <w:rPr>
      <w:rFonts w:ascii="Arial" w:hAnsi="Arial"/>
      <w:b/>
    </w:rPr>
  </w:style>
  <w:style w:type="paragraph" w:styleId="TDC1">
    <w:name w:val="toc 1"/>
    <w:basedOn w:val="Normal"/>
    <w:next w:val="Normal"/>
    <w:semiHidden/>
    <w:pPr>
      <w:tabs>
        <w:tab w:val="right" w:leader="dot" w:pos="8640"/>
      </w:tabs>
      <w:spacing w:before="120" w:after="120"/>
      <w:ind w:left="482" w:right="720" w:hanging="482"/>
    </w:pPr>
    <w:rPr>
      <w:caps/>
    </w:rPr>
  </w:style>
  <w:style w:type="paragraph" w:styleId="TDC2">
    <w:name w:val="toc 2"/>
    <w:basedOn w:val="Normal"/>
    <w:next w:val="Normal"/>
    <w:semiHidden/>
    <w:pPr>
      <w:tabs>
        <w:tab w:val="right" w:leader="dot" w:pos="8640"/>
      </w:tabs>
      <w:spacing w:before="60" w:after="60"/>
      <w:ind w:left="1077" w:right="720" w:hanging="595"/>
    </w:pPr>
  </w:style>
  <w:style w:type="paragraph" w:styleId="TDC3">
    <w:name w:val="toc 3"/>
    <w:basedOn w:val="Normal"/>
    <w:next w:val="Normal"/>
    <w:semiHidden/>
    <w:pPr>
      <w:tabs>
        <w:tab w:val="right" w:leader="dot" w:pos="8640"/>
      </w:tabs>
      <w:spacing w:before="60" w:after="60"/>
      <w:ind w:left="1916" w:right="720" w:hanging="839"/>
    </w:pPr>
  </w:style>
  <w:style w:type="paragraph" w:styleId="TDC4">
    <w:name w:val="toc 4"/>
    <w:basedOn w:val="Normal"/>
    <w:next w:val="Normal"/>
    <w:semiHidden/>
    <w:pPr>
      <w:tabs>
        <w:tab w:val="right" w:leader="dot" w:pos="8641"/>
      </w:tabs>
      <w:spacing w:before="60" w:after="60"/>
      <w:ind w:left="2880" w:right="720" w:hanging="964"/>
    </w:pPr>
  </w:style>
  <w:style w:type="paragraph" w:styleId="TDC5">
    <w:name w:val="toc 5"/>
    <w:basedOn w:val="Normal"/>
    <w:next w:val="Normal"/>
    <w:semiHidden/>
    <w:pPr>
      <w:tabs>
        <w:tab w:val="right" w:leader="dot" w:pos="8641"/>
      </w:tabs>
      <w:spacing w:before="240" w:after="120"/>
      <w:ind w:right="720"/>
    </w:pPr>
    <w:rPr>
      <w:caps/>
    </w:r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160"/>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160"/>
      </w:tabs>
    </w:pPr>
  </w:style>
  <w:style w:type="paragraph" w:customStyle="1" w:styleId="ListNumber2Level3">
    <w:name w:val="List Number 2 (Level 3)"/>
    <w:basedOn w:val="Text2"/>
    <w:pPr>
      <w:numPr>
        <w:ilvl w:val="2"/>
        <w:numId w:val="16"/>
      </w:numPr>
      <w:tabs>
        <w:tab w:val="clear" w:pos="2160"/>
      </w:tabs>
    </w:pPr>
  </w:style>
  <w:style w:type="paragraph" w:customStyle="1" w:styleId="ListNumber2Level4">
    <w:name w:val="List Number 2 (Level 4)"/>
    <w:basedOn w:val="Text2"/>
    <w:pPr>
      <w:numPr>
        <w:ilvl w:val="3"/>
        <w:numId w:val="16"/>
      </w:numPr>
      <w:tabs>
        <w:tab w:val="clear" w:pos="2160"/>
      </w:tabs>
      <w:ind w:left="3901" w:hanging="703"/>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pPr>
  </w:style>
  <w:style w:type="paragraph" w:customStyle="1" w:styleId="ListNumber4Level3">
    <w:name w:val="List Number 4 (Level 3)"/>
    <w:basedOn w:val="Text4"/>
    <w:pPr>
      <w:numPr>
        <w:ilvl w:val="2"/>
        <w:numId w:val="18"/>
      </w:numPr>
    </w:pPr>
  </w:style>
  <w:style w:type="paragraph" w:customStyle="1" w:styleId="ListNumber4Level4">
    <w:name w:val="List Number 4 (Level 4)"/>
    <w:basedOn w:val="Text4"/>
    <w:pPr>
      <w:numPr>
        <w:ilvl w:val="3"/>
        <w:numId w:val="18"/>
      </w:numPr>
    </w:pPr>
  </w:style>
  <w:style w:type="paragraph" w:styleId="TtulodeTDC">
    <w:name w:val="TOC Heading"/>
    <w:basedOn w:val="Normal"/>
    <w:next w:val="Normal"/>
    <w:qFormat/>
    <w:pPr>
      <w:keepNext/>
      <w:spacing w:before="240"/>
      <w:jc w:val="center"/>
    </w:pPr>
    <w:rPr>
      <w:b/>
    </w:rPr>
  </w:style>
  <w:style w:type="paragraph" w:customStyle="1" w:styleId="Contact">
    <w:name w:val="Contact"/>
    <w:basedOn w:val="Normal"/>
    <w:next w:val="Enclosures"/>
    <w:uiPriority w:val="99"/>
    <w:pPr>
      <w:spacing w:before="480" w:after="0"/>
      <w:ind w:left="567" w:hanging="567"/>
      <w:jc w:val="left"/>
    </w:pPr>
  </w:style>
  <w:style w:type="paragraph" w:customStyle="1" w:styleId="DisclaimerNotice">
    <w:name w:val="Disclaimer Notice"/>
    <w:basedOn w:val="Normal"/>
    <w:next w:val="AddressTR"/>
    <w:pPr>
      <w:ind w:left="5103"/>
      <w:jc w:val="left"/>
    </w:pPr>
    <w:rPr>
      <w:i/>
      <w:sz w:val="20"/>
    </w:rPr>
  </w:style>
  <w:style w:type="paragraph" w:customStyle="1" w:styleId="Disclaimer">
    <w:name w:val="Disclaimer"/>
    <w:basedOn w:val="Normal"/>
    <w:pPr>
      <w:keepLines/>
      <w:pBdr>
        <w:top w:val="single" w:sz="4" w:space="1" w:color="auto"/>
      </w:pBdr>
      <w:spacing w:before="480" w:after="0"/>
    </w:pPr>
    <w:rPr>
      <w:i/>
    </w:rPr>
  </w:style>
  <w:style w:type="character" w:styleId="Hipervnculovisitado">
    <w:name w:val="FollowedHyperlink"/>
    <w:rPr>
      <w:color w:val="800080"/>
      <w:u w:val="single"/>
    </w:rPr>
  </w:style>
  <w:style w:type="paragraph" w:customStyle="1" w:styleId="DisclaimerSJ">
    <w:name w:val="Disclaimer_SJ"/>
    <w:basedOn w:val="Normal"/>
    <w:next w:val="Normal"/>
    <w:pPr>
      <w:spacing w:after="0"/>
    </w:pPr>
    <w:rPr>
      <w:rFonts w:ascii="Arial" w:hAnsi="Arial"/>
      <w:b/>
      <w:sz w:val="16"/>
    </w:r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qFormat/>
    <w:pPr>
      <w:spacing w:after="0"/>
      <w:jc w:val="center"/>
    </w:pPr>
    <w:rPr>
      <w:b/>
      <w:caps/>
      <w:sz w:val="32"/>
      <w:lang w:val="de-DE"/>
    </w:rPr>
  </w:style>
  <w:style w:type="paragraph" w:customStyle="1" w:styleId="RUE">
    <w:name w:val="RUE"/>
    <w:basedOn w:val="Normal"/>
    <w:pPr>
      <w:spacing w:after="0"/>
      <w:jc w:val="center"/>
    </w:pPr>
    <w:rPr>
      <w:b/>
      <w:caps/>
      <w:sz w:val="32"/>
      <w:bdr w:val="single" w:sz="18" w:space="0" w:color="auto"/>
      <w:lang w:val="de-DE"/>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SecretUE">
    <w:name w:val="Secret UE"/>
    <w:basedOn w:val="Normal"/>
    <w:pPr>
      <w:spacing w:after="0"/>
      <w:jc w:val="center"/>
    </w:pPr>
    <w:rPr>
      <w:b/>
      <w:caps/>
      <w:color w:val="FF0000"/>
      <w:sz w:val="32"/>
      <w:bdr w:val="single" w:sz="18" w:space="0" w:color="FF0000"/>
    </w:rPr>
  </w:style>
  <w:style w:type="character" w:customStyle="1" w:styleId="PiedepginaCar">
    <w:name w:val="Pie de página Car"/>
    <w:link w:val="Piedepgina"/>
    <w:uiPriority w:val="99"/>
    <w:rsid w:val="002170FF"/>
    <w:rPr>
      <w:rFonts w:ascii="Arial" w:hAnsi="Arial"/>
      <w:sz w:val="16"/>
      <w:lang w:eastAsia="en-US"/>
    </w:rPr>
  </w:style>
  <w:style w:type="character" w:customStyle="1" w:styleId="FechaCar">
    <w:name w:val="Fecha Car"/>
    <w:link w:val="Fecha"/>
    <w:uiPriority w:val="99"/>
    <w:rsid w:val="002170FF"/>
    <w:rPr>
      <w:sz w:val="24"/>
      <w:lang w:eastAsia="en-US"/>
    </w:rPr>
  </w:style>
  <w:style w:type="character" w:customStyle="1" w:styleId="FirmaCar">
    <w:name w:val="Firma Car"/>
    <w:link w:val="Firma"/>
    <w:uiPriority w:val="99"/>
    <w:rsid w:val="002170FF"/>
    <w:rPr>
      <w:sz w:val="24"/>
      <w:lang w:eastAsia="en-US"/>
    </w:rPr>
  </w:style>
  <w:style w:type="paragraph" w:customStyle="1" w:styleId="ZCom">
    <w:name w:val="Z_Com"/>
    <w:basedOn w:val="Normal"/>
    <w:next w:val="ZDGName"/>
    <w:uiPriority w:val="99"/>
    <w:rsid w:val="002170FF"/>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uiPriority w:val="99"/>
    <w:rsid w:val="002170FF"/>
    <w:pPr>
      <w:widowControl w:val="0"/>
      <w:autoSpaceDE w:val="0"/>
      <w:autoSpaceDN w:val="0"/>
      <w:spacing w:after="0"/>
      <w:ind w:right="85"/>
      <w:jc w:val="left"/>
    </w:pPr>
    <w:rPr>
      <w:rFonts w:ascii="Arial" w:hAnsi="Arial" w:cs="Arial"/>
      <w:sz w:val="16"/>
      <w:szCs w:val="16"/>
      <w:lang w:eastAsia="en-GB"/>
    </w:rPr>
  </w:style>
  <w:style w:type="character" w:customStyle="1" w:styleId="EncabezadoCar">
    <w:name w:val="Encabezado Car"/>
    <w:link w:val="Encabezado"/>
    <w:uiPriority w:val="99"/>
    <w:rsid w:val="002170FF"/>
    <w:rPr>
      <w:sz w:val="24"/>
      <w:lang w:eastAsia="en-US"/>
    </w:rPr>
  </w:style>
  <w:style w:type="paragraph" w:styleId="Textodeglobo">
    <w:name w:val="Balloon Text"/>
    <w:basedOn w:val="Normal"/>
    <w:link w:val="TextodegloboCar"/>
    <w:uiPriority w:val="99"/>
    <w:semiHidden/>
    <w:unhideWhenUsed/>
    <w:rsid w:val="004A3BB9"/>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A3BB9"/>
    <w:rPr>
      <w:rFonts w:ascii="Tahoma" w:hAnsi="Tahoma" w:cs="Tahoma"/>
      <w:sz w:val="16"/>
      <w:szCs w:val="16"/>
      <w:lang w:eastAsia="en-US"/>
    </w:rPr>
  </w:style>
  <w:style w:type="paragraph" w:styleId="Prrafodelista">
    <w:name w:val="List Paragraph"/>
    <w:basedOn w:val="Normal"/>
    <w:uiPriority w:val="34"/>
    <w:qFormat/>
    <w:rsid w:val="00491A27"/>
    <w:pPr>
      <w:spacing w:after="0"/>
      <w:ind w:left="720"/>
      <w:jc w:val="left"/>
    </w:pPr>
    <w:rPr>
      <w:rFonts w:asciiTheme="minorHAnsi" w:hAnsiTheme="minorHAnsi"/>
      <w:sz w:val="22"/>
      <w:szCs w:val="22"/>
    </w:rPr>
  </w:style>
  <w:style w:type="character" w:styleId="Hipervnculo">
    <w:name w:val="Hyperlink"/>
    <w:basedOn w:val="Fuentedeprrafopredeter"/>
    <w:uiPriority w:val="99"/>
    <w:unhideWhenUsed/>
    <w:rsid w:val="00093B73"/>
    <w:rPr>
      <w:color w:val="0000FF" w:themeColor="hyperlink"/>
      <w:u w:val="single"/>
    </w:rPr>
  </w:style>
  <w:style w:type="character" w:styleId="Refdenotaalpie">
    <w:name w:val="footnote reference"/>
    <w:basedOn w:val="Fuentedeprrafopredeter"/>
    <w:uiPriority w:val="99"/>
    <w:semiHidden/>
    <w:unhideWhenUsed/>
    <w:rsid w:val="00093B73"/>
    <w:rPr>
      <w:vertAlign w:val="superscript"/>
    </w:rPr>
  </w:style>
  <w:style w:type="character" w:customStyle="1" w:styleId="Ttulo2Car">
    <w:name w:val="Título 2 Car"/>
    <w:basedOn w:val="Fuentedeprrafopredeter"/>
    <w:link w:val="Ttulo2"/>
    <w:rsid w:val="00206977"/>
    <w:rPr>
      <w:b/>
      <w:sz w:val="24"/>
      <w:lang w:eastAsia="en-US"/>
    </w:rPr>
  </w:style>
  <w:style w:type="table" w:styleId="Tablaconcuadrcula">
    <w:name w:val="Table Grid"/>
    <w:basedOn w:val="Tablanormal"/>
    <w:uiPriority w:val="59"/>
    <w:rsid w:val="00192B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notapieCar">
    <w:name w:val="Texto nota pie Car"/>
    <w:link w:val="Textonotapie"/>
    <w:uiPriority w:val="99"/>
    <w:semiHidden/>
    <w:rsid w:val="009A1518"/>
    <w:rPr>
      <w:lang w:eastAsia="en-US"/>
    </w:rPr>
  </w:style>
  <w:style w:type="character" w:styleId="Refdecomentario">
    <w:name w:val="annotation reference"/>
    <w:basedOn w:val="Fuentedeprrafopredeter"/>
    <w:uiPriority w:val="99"/>
    <w:semiHidden/>
    <w:unhideWhenUsed/>
    <w:rsid w:val="008B5DC8"/>
    <w:rPr>
      <w:sz w:val="16"/>
      <w:szCs w:val="16"/>
    </w:rPr>
  </w:style>
  <w:style w:type="paragraph" w:styleId="Asuntodelcomentario">
    <w:name w:val="annotation subject"/>
    <w:basedOn w:val="Textocomentario"/>
    <w:next w:val="Textocomentario"/>
    <w:link w:val="AsuntodelcomentarioCar"/>
    <w:uiPriority w:val="99"/>
    <w:semiHidden/>
    <w:unhideWhenUsed/>
    <w:rsid w:val="008B5DC8"/>
    <w:rPr>
      <w:b/>
      <w:bCs/>
    </w:rPr>
  </w:style>
  <w:style w:type="character" w:customStyle="1" w:styleId="TextocomentarioCar">
    <w:name w:val="Texto comentario Car"/>
    <w:basedOn w:val="Fuentedeprrafopredeter"/>
    <w:link w:val="Textocomentario"/>
    <w:semiHidden/>
    <w:rsid w:val="008B5DC8"/>
    <w:rPr>
      <w:lang w:eastAsia="en-US"/>
    </w:rPr>
  </w:style>
  <w:style w:type="character" w:customStyle="1" w:styleId="AsuntodelcomentarioCar">
    <w:name w:val="Asunto del comentario Car"/>
    <w:basedOn w:val="TextocomentarioCar"/>
    <w:link w:val="Asuntodelcomentario"/>
    <w:uiPriority w:val="99"/>
    <w:semiHidden/>
    <w:rsid w:val="008B5DC8"/>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spacing w:after="240"/>
      <w:jc w:val="both"/>
    </w:pPr>
    <w:rPr>
      <w:sz w:val="24"/>
      <w:lang w:eastAsia="en-US"/>
    </w:rPr>
  </w:style>
  <w:style w:type="paragraph" w:styleId="Ttulo1">
    <w:name w:val="heading 1"/>
    <w:basedOn w:val="Normal"/>
    <w:next w:val="Text1"/>
    <w:qFormat/>
    <w:pPr>
      <w:keepNext/>
      <w:numPr>
        <w:numId w:val="3"/>
      </w:numPr>
      <w:spacing w:before="240"/>
      <w:outlineLvl w:val="0"/>
    </w:pPr>
    <w:rPr>
      <w:b/>
      <w:smallCaps/>
    </w:rPr>
  </w:style>
  <w:style w:type="paragraph" w:styleId="Ttulo2">
    <w:name w:val="heading 2"/>
    <w:basedOn w:val="Normal"/>
    <w:next w:val="Text2"/>
    <w:link w:val="Ttulo2Car"/>
    <w:qFormat/>
    <w:pPr>
      <w:keepNext/>
      <w:numPr>
        <w:ilvl w:val="1"/>
        <w:numId w:val="3"/>
      </w:numPr>
      <w:tabs>
        <w:tab w:val="num" w:pos="1026"/>
      </w:tabs>
      <w:ind w:left="1026"/>
      <w:outlineLvl w:val="1"/>
    </w:pPr>
    <w:rPr>
      <w:b/>
    </w:rPr>
  </w:style>
  <w:style w:type="paragraph" w:styleId="Ttulo3">
    <w:name w:val="heading 3"/>
    <w:basedOn w:val="Normal"/>
    <w:next w:val="Text3"/>
    <w:qFormat/>
    <w:pPr>
      <w:keepNext/>
      <w:numPr>
        <w:ilvl w:val="2"/>
        <w:numId w:val="3"/>
      </w:numPr>
      <w:outlineLvl w:val="2"/>
    </w:pPr>
    <w:rPr>
      <w:i/>
    </w:rPr>
  </w:style>
  <w:style w:type="paragraph" w:styleId="Ttulo4">
    <w:name w:val="heading 4"/>
    <w:basedOn w:val="Normal"/>
    <w:next w:val="Text4"/>
    <w:qFormat/>
    <w:pPr>
      <w:keepNext/>
      <w:numPr>
        <w:ilvl w:val="3"/>
        <w:numId w:val="3"/>
      </w:numPr>
      <w:outlineLvl w:val="3"/>
    </w:pPr>
  </w:style>
  <w:style w:type="paragraph" w:styleId="Ttulo5">
    <w:name w:val="heading 5"/>
    <w:basedOn w:val="Normal"/>
    <w:next w:val="Normal"/>
    <w:qFormat/>
    <w:pPr>
      <w:spacing w:before="240" w:after="60"/>
      <w:ind w:left="3332" w:hanging="708"/>
      <w:outlineLvl w:val="4"/>
    </w:pPr>
    <w:rPr>
      <w:rFonts w:ascii="Arial" w:hAnsi="Arial"/>
      <w:sz w:val="22"/>
    </w:rPr>
  </w:style>
  <w:style w:type="paragraph" w:styleId="Ttulo6">
    <w:name w:val="heading 6"/>
    <w:basedOn w:val="Normal"/>
    <w:next w:val="Normal"/>
    <w:qFormat/>
    <w:pPr>
      <w:spacing w:before="240" w:after="60"/>
      <w:ind w:left="4040" w:hanging="708"/>
      <w:outlineLvl w:val="5"/>
    </w:pPr>
    <w:rPr>
      <w:rFonts w:ascii="Arial" w:hAnsi="Arial"/>
      <w:i/>
      <w:sz w:val="22"/>
    </w:rPr>
  </w:style>
  <w:style w:type="paragraph" w:styleId="Ttulo7">
    <w:name w:val="heading 7"/>
    <w:basedOn w:val="Normal"/>
    <w:next w:val="Normal"/>
    <w:qFormat/>
    <w:pPr>
      <w:spacing w:before="240" w:after="60"/>
      <w:ind w:left="4748" w:hanging="708"/>
      <w:outlineLvl w:val="6"/>
    </w:pPr>
    <w:rPr>
      <w:rFonts w:ascii="Arial" w:hAnsi="Arial"/>
      <w:sz w:val="20"/>
    </w:rPr>
  </w:style>
  <w:style w:type="paragraph" w:styleId="Ttulo8">
    <w:name w:val="heading 8"/>
    <w:basedOn w:val="Normal"/>
    <w:next w:val="Normal"/>
    <w:qFormat/>
    <w:pPr>
      <w:spacing w:before="240" w:after="60"/>
      <w:ind w:left="5456" w:hanging="708"/>
      <w:outlineLvl w:val="7"/>
    </w:pPr>
    <w:rPr>
      <w:rFonts w:ascii="Arial" w:hAnsi="Arial"/>
      <w:i/>
      <w:sz w:val="20"/>
    </w:rPr>
  </w:style>
  <w:style w:type="paragraph" w:styleId="Ttulo9">
    <w:name w:val="heading 9"/>
    <w:basedOn w:val="Normal"/>
    <w:next w:val="Normal"/>
    <w:qFormat/>
    <w:pPr>
      <w:spacing w:before="240" w:after="60"/>
      <w:ind w:left="6164" w:hanging="708"/>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160"/>
      </w:tabs>
      <w:ind w:left="1077"/>
    </w:pPr>
  </w:style>
  <w:style w:type="paragraph" w:customStyle="1" w:styleId="Text3">
    <w:name w:val="Text 3"/>
    <w:basedOn w:val="Normal"/>
    <w:pPr>
      <w:tabs>
        <w:tab w:val="left" w:pos="2302"/>
      </w:tabs>
      <w:ind w:left="1916"/>
    </w:pPr>
  </w:style>
  <w:style w:type="paragraph" w:customStyle="1" w:styleId="Text4">
    <w:name w:val="Text 4"/>
    <w:basedOn w:val="Normal"/>
    <w:pPr>
      <w:ind w:left="2880"/>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Textodebloque">
    <w:name w:val="Block Text"/>
    <w:basedOn w:val="Normal"/>
    <w:pPr>
      <w:spacing w:after="120"/>
      <w:ind w:left="1440" w:right="1440"/>
    </w:pPr>
  </w:style>
  <w:style w:type="paragraph" w:styleId="Textoindependiente">
    <w:name w:val="Body Text"/>
    <w:basedOn w:val="Normal"/>
    <w:pPr>
      <w:spacing w:after="120"/>
    </w:pPr>
  </w:style>
  <w:style w:type="paragraph" w:styleId="Textoindependiente2">
    <w:name w:val="Body Text 2"/>
    <w:basedOn w:val="Normal"/>
    <w:pPr>
      <w:spacing w:after="120" w:line="480" w:lineRule="auto"/>
    </w:pPr>
  </w:style>
  <w:style w:type="paragraph" w:styleId="Textoindependiente3">
    <w:name w:val="Body Text 3"/>
    <w:basedOn w:val="Normal"/>
    <w:pPr>
      <w:spacing w:after="120"/>
    </w:pPr>
    <w:rPr>
      <w:sz w:val="16"/>
    </w:rPr>
  </w:style>
  <w:style w:type="paragraph" w:styleId="Textoindependienteprimerasangra">
    <w:name w:val="Body Text First Indent"/>
    <w:basedOn w:val="Textoindependiente"/>
    <w:pPr>
      <w:ind w:firstLine="210"/>
    </w:pPr>
  </w:style>
  <w:style w:type="paragraph" w:styleId="Sangradetextonormal">
    <w:name w:val="Body Text Indent"/>
    <w:basedOn w:val="Normal"/>
    <w:pPr>
      <w:spacing w:after="120"/>
      <w:ind w:left="283"/>
    </w:pPr>
  </w:style>
  <w:style w:type="paragraph" w:styleId="Textoindependienteprimerasangra2">
    <w:name w:val="Body Text First Indent 2"/>
    <w:basedOn w:val="Sangradetextonormal"/>
    <w:pPr>
      <w:ind w:firstLine="210"/>
    </w:pPr>
  </w:style>
  <w:style w:type="paragraph" w:styleId="Sangra2detindependiente">
    <w:name w:val="Body Text Indent 2"/>
    <w:basedOn w:val="Normal"/>
    <w:pPr>
      <w:spacing w:after="120" w:line="480" w:lineRule="auto"/>
      <w:ind w:left="283"/>
    </w:pPr>
  </w:style>
  <w:style w:type="paragraph" w:styleId="Sangra3detindependiente">
    <w:name w:val="Body Text Indent 3"/>
    <w:basedOn w:val="Normal"/>
    <w:pPr>
      <w:spacing w:after="120"/>
      <w:ind w:left="283"/>
    </w:pPr>
    <w:rPr>
      <w:sz w:val="16"/>
    </w:rPr>
  </w:style>
  <w:style w:type="paragraph" w:styleId="Epgrafe">
    <w:name w:val="caption"/>
    <w:basedOn w:val="Normal"/>
    <w:next w:val="Normal"/>
    <w:qFormat/>
    <w:pPr>
      <w:spacing w:before="120" w:after="120"/>
    </w:pPr>
    <w:rPr>
      <w:b/>
    </w:rPr>
  </w:style>
  <w:style w:type="paragraph" w:styleId="Cierre">
    <w:name w:val="Closing"/>
    <w:basedOn w:val="Normal"/>
    <w:next w:val="Firma"/>
    <w:pPr>
      <w:tabs>
        <w:tab w:val="left" w:pos="5103"/>
      </w:tabs>
      <w:spacing w:before="240"/>
      <w:ind w:left="5103"/>
      <w:jc w:val="left"/>
    </w:pPr>
  </w:style>
  <w:style w:type="paragraph" w:styleId="Firma">
    <w:name w:val="Signature"/>
    <w:basedOn w:val="Normal"/>
    <w:next w:val="Contact"/>
    <w:link w:val="FirmaCar"/>
    <w:uiPriority w:val="99"/>
    <w:pPr>
      <w:tabs>
        <w:tab w:val="left" w:pos="5103"/>
      </w:tabs>
      <w:spacing w:before="1200" w:after="0"/>
      <w:ind w:left="5103"/>
      <w:jc w:val="center"/>
    </w:pPr>
  </w:style>
  <w:style w:type="paragraph" w:customStyle="1" w:styleId="Enclosures">
    <w:name w:val="Enclosures"/>
    <w:basedOn w:val="Normal"/>
    <w:next w:val="Participants"/>
    <w:pPr>
      <w:keepNext/>
      <w:keepLines/>
      <w:tabs>
        <w:tab w:val="left" w:pos="5670"/>
      </w:tabs>
      <w:spacing w:before="480" w:after="0"/>
      <w:ind w:left="1985" w:hanging="1985"/>
      <w:jc w:val="left"/>
    </w:pPr>
  </w:style>
  <w:style w:type="paragraph" w:customStyle="1" w:styleId="Participants">
    <w:name w:val="Participants"/>
    <w:basedOn w:val="Normal"/>
    <w:next w:val="Copies"/>
    <w:pPr>
      <w:tabs>
        <w:tab w:val="left" w:pos="2552"/>
        <w:tab w:val="left" w:pos="2835"/>
        <w:tab w:val="left" w:pos="5670"/>
        <w:tab w:val="left" w:pos="6379"/>
        <w:tab w:val="left" w:pos="6804"/>
      </w:tabs>
      <w:spacing w:before="480" w:after="0"/>
      <w:ind w:left="1985" w:hanging="1985"/>
      <w:jc w:val="left"/>
    </w:pPr>
  </w:style>
  <w:style w:type="paragraph" w:customStyle="1" w:styleId="Copies">
    <w:name w:val="Copies"/>
    <w:basedOn w:val="Normal"/>
    <w:next w:val="Normal"/>
    <w:pPr>
      <w:tabs>
        <w:tab w:val="left" w:pos="2552"/>
        <w:tab w:val="left" w:pos="2835"/>
        <w:tab w:val="left" w:pos="5670"/>
        <w:tab w:val="left" w:pos="6379"/>
        <w:tab w:val="left" w:pos="6804"/>
      </w:tabs>
      <w:spacing w:before="480" w:after="0"/>
      <w:ind w:left="1985" w:hanging="1985"/>
      <w:jc w:val="left"/>
    </w:pPr>
  </w:style>
  <w:style w:type="paragraph" w:styleId="Textocomentario">
    <w:name w:val="annotation text"/>
    <w:basedOn w:val="Normal"/>
    <w:link w:val="TextocomentarioCar"/>
    <w:semiHidden/>
    <w:rPr>
      <w:sz w:val="20"/>
    </w:rPr>
  </w:style>
  <w:style w:type="paragraph" w:styleId="Fecha">
    <w:name w:val="Date"/>
    <w:basedOn w:val="Normal"/>
    <w:next w:val="References"/>
    <w:link w:val="FechaCar"/>
    <w:uiPriority w:val="99"/>
    <w:pPr>
      <w:spacing w:after="0"/>
      <w:ind w:left="5103" w:right="-567"/>
      <w:jc w:val="left"/>
    </w:pPr>
  </w:style>
  <w:style w:type="paragraph" w:customStyle="1" w:styleId="References">
    <w:name w:val="References"/>
    <w:basedOn w:val="Normal"/>
    <w:next w:val="AddressTR"/>
    <w:uiPriority w:val="99"/>
    <w:pPr>
      <w:ind w:left="5103"/>
      <w:jc w:val="left"/>
    </w:pPr>
    <w:rPr>
      <w:sz w:val="20"/>
    </w:rPr>
  </w:style>
  <w:style w:type="paragraph" w:styleId="Mapadeldocumento">
    <w:name w:val="Document Map"/>
    <w:basedOn w:val="Normal"/>
    <w:semiHidden/>
    <w:pPr>
      <w:shd w:val="clear" w:color="auto" w:fill="000080"/>
    </w:pPr>
    <w:rPr>
      <w:rFonts w:ascii="Tahoma" w:hAnsi="Tahoma"/>
    </w:rPr>
  </w:style>
  <w:style w:type="paragraph" w:customStyle="1" w:styleId="DoubSign">
    <w:name w:val="DoubSign"/>
    <w:basedOn w:val="Normal"/>
    <w:next w:val="Contact"/>
    <w:pPr>
      <w:tabs>
        <w:tab w:val="left" w:pos="5103"/>
      </w:tabs>
      <w:spacing w:before="1200" w:after="0"/>
      <w:jc w:val="left"/>
    </w:pPr>
  </w:style>
  <w:style w:type="paragraph" w:styleId="Textonotaalfinal">
    <w:name w:val="endnote text"/>
    <w:basedOn w:val="Normal"/>
    <w:semiHidden/>
    <w:rPr>
      <w:sz w:val="20"/>
    </w:rPr>
  </w:style>
  <w:style w:type="paragraph" w:styleId="Direccinsobre">
    <w:name w:val="envelope address"/>
    <w:basedOn w:val="Normal"/>
    <w:pPr>
      <w:framePr w:w="7920" w:h="1980" w:hRule="exact" w:hSpace="180" w:wrap="auto" w:hAnchor="page" w:xAlign="center" w:yAlign="bottom"/>
      <w:spacing w:after="0"/>
    </w:pPr>
  </w:style>
  <w:style w:type="paragraph" w:styleId="Remitedesobre">
    <w:name w:val="envelope return"/>
    <w:basedOn w:val="Normal"/>
    <w:pPr>
      <w:spacing w:after="0"/>
    </w:pPr>
    <w:rPr>
      <w:sz w:val="20"/>
    </w:rPr>
  </w:style>
  <w:style w:type="paragraph" w:styleId="Piedepgina">
    <w:name w:val="footer"/>
    <w:basedOn w:val="Normal"/>
    <w:link w:val="PiedepginaCar"/>
    <w:uiPriority w:val="99"/>
    <w:pPr>
      <w:spacing w:after="0"/>
      <w:ind w:right="-567"/>
      <w:jc w:val="left"/>
    </w:pPr>
    <w:rPr>
      <w:rFonts w:ascii="Arial" w:hAnsi="Arial"/>
      <w:sz w:val="16"/>
    </w:rPr>
  </w:style>
  <w:style w:type="paragraph" w:styleId="Textonotapie">
    <w:name w:val="footnote text"/>
    <w:basedOn w:val="Normal"/>
    <w:link w:val="TextonotapieCar"/>
    <w:uiPriority w:val="99"/>
    <w:semiHidden/>
    <w:pPr>
      <w:ind w:left="357" w:hanging="357"/>
    </w:pPr>
    <w:rPr>
      <w:sz w:val="20"/>
    </w:rPr>
  </w:style>
  <w:style w:type="paragraph" w:styleId="Encabezado">
    <w:name w:val="header"/>
    <w:basedOn w:val="Normal"/>
    <w:link w:val="EncabezadoCar"/>
    <w:uiPriority w:val="99"/>
    <w:pPr>
      <w:tabs>
        <w:tab w:val="center" w:pos="4153"/>
        <w:tab w:val="right" w:pos="8306"/>
      </w:tabs>
    </w:pPr>
  </w:style>
  <w:style w:type="paragraph" w:styleId="ndice1">
    <w:name w:val="index 1"/>
    <w:basedOn w:val="Normal"/>
    <w:next w:val="Normal"/>
    <w:autoRedefine/>
    <w:semiHidden/>
    <w:pPr>
      <w:ind w:left="240" w:hanging="240"/>
    </w:pPr>
  </w:style>
  <w:style w:type="paragraph" w:styleId="ndice2">
    <w:name w:val="index 2"/>
    <w:basedOn w:val="Normal"/>
    <w:next w:val="Normal"/>
    <w:autoRedefine/>
    <w:semiHidden/>
    <w:pPr>
      <w:ind w:left="480" w:hanging="240"/>
    </w:pPr>
  </w:style>
  <w:style w:type="paragraph" w:styleId="ndice3">
    <w:name w:val="index 3"/>
    <w:basedOn w:val="Normal"/>
    <w:next w:val="Normal"/>
    <w:autoRedefine/>
    <w:semiHidden/>
    <w:pPr>
      <w:ind w:left="720" w:hanging="240"/>
    </w:pPr>
  </w:style>
  <w:style w:type="paragraph" w:styleId="ndice4">
    <w:name w:val="index 4"/>
    <w:basedOn w:val="Normal"/>
    <w:next w:val="Normal"/>
    <w:autoRedefine/>
    <w:semiHidden/>
    <w:pPr>
      <w:ind w:left="960" w:hanging="240"/>
    </w:pPr>
  </w:style>
  <w:style w:type="paragraph" w:styleId="ndice5">
    <w:name w:val="index 5"/>
    <w:basedOn w:val="Normal"/>
    <w:next w:val="Normal"/>
    <w:autoRedefine/>
    <w:semiHidden/>
    <w:pPr>
      <w:ind w:left="1200" w:hanging="240"/>
    </w:pPr>
  </w:style>
  <w:style w:type="paragraph" w:styleId="ndice6">
    <w:name w:val="index 6"/>
    <w:basedOn w:val="Normal"/>
    <w:next w:val="Normal"/>
    <w:autoRedefine/>
    <w:semiHidden/>
    <w:pPr>
      <w:ind w:left="1440" w:hanging="240"/>
    </w:pPr>
  </w:style>
  <w:style w:type="paragraph" w:styleId="ndice7">
    <w:name w:val="index 7"/>
    <w:basedOn w:val="Normal"/>
    <w:next w:val="Normal"/>
    <w:autoRedefine/>
    <w:semiHidden/>
    <w:pPr>
      <w:ind w:left="1680" w:hanging="240"/>
    </w:pPr>
  </w:style>
  <w:style w:type="paragraph" w:styleId="ndice8">
    <w:name w:val="index 8"/>
    <w:basedOn w:val="Normal"/>
    <w:next w:val="Normal"/>
    <w:autoRedefine/>
    <w:semiHidden/>
    <w:pPr>
      <w:ind w:left="1920" w:hanging="240"/>
    </w:pPr>
  </w:style>
  <w:style w:type="paragraph" w:styleId="ndice9">
    <w:name w:val="index 9"/>
    <w:basedOn w:val="Normal"/>
    <w:next w:val="Normal"/>
    <w:autoRedefine/>
    <w:semiHidden/>
    <w:pPr>
      <w:ind w:left="2160" w:hanging="240"/>
    </w:pPr>
  </w:style>
  <w:style w:type="paragraph" w:styleId="Ttulodendice">
    <w:name w:val="index heading"/>
    <w:basedOn w:val="Normal"/>
    <w:next w:val="ndice1"/>
    <w:semiHidden/>
    <w:rPr>
      <w:rFonts w:ascii="Arial" w:hAnsi="Arial"/>
      <w:b/>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Listaconvietas">
    <w:name w:val="List Bullet"/>
    <w:basedOn w:val="Normal"/>
    <w:pPr>
      <w:numPr>
        <w:numId w:val="4"/>
      </w:numPr>
    </w:pPr>
  </w:style>
  <w:style w:type="paragraph" w:styleId="Listaconvietas2">
    <w:name w:val="List Bullet 2"/>
    <w:basedOn w:val="Text2"/>
    <w:pPr>
      <w:numPr>
        <w:numId w:val="6"/>
      </w:numPr>
      <w:tabs>
        <w:tab w:val="clear" w:pos="2160"/>
      </w:tabs>
    </w:pPr>
  </w:style>
  <w:style w:type="paragraph" w:styleId="Listaconvietas3">
    <w:name w:val="List Bullet 3"/>
    <w:basedOn w:val="Text3"/>
    <w:pPr>
      <w:numPr>
        <w:numId w:val="7"/>
      </w:numPr>
      <w:tabs>
        <w:tab w:val="clear" w:pos="2302"/>
      </w:tabs>
    </w:pPr>
  </w:style>
  <w:style w:type="paragraph" w:styleId="Listaconvietas4">
    <w:name w:val="List Bullet 4"/>
    <w:basedOn w:val="Text4"/>
    <w:pPr>
      <w:numPr>
        <w:numId w:val="8"/>
      </w:numPr>
    </w:pPr>
  </w:style>
  <w:style w:type="paragraph" w:styleId="Listaconvietas5">
    <w:name w:val="List Bullet 5"/>
    <w:basedOn w:val="Normal"/>
    <w:autoRedefine/>
    <w:pPr>
      <w:numPr>
        <w:numId w:val="1"/>
      </w:numPr>
    </w:pPr>
  </w:style>
  <w:style w:type="paragraph" w:styleId="Continuarlista">
    <w:name w:val="List Continue"/>
    <w:basedOn w:val="Normal"/>
    <w:pPr>
      <w:spacing w:after="120"/>
      <w:ind w:left="283"/>
    </w:pPr>
  </w:style>
  <w:style w:type="paragraph" w:styleId="Continuarlista2">
    <w:name w:val="List Continue 2"/>
    <w:basedOn w:val="Normal"/>
    <w:pPr>
      <w:spacing w:after="120"/>
      <w:ind w:left="566"/>
    </w:pPr>
  </w:style>
  <w:style w:type="paragraph" w:styleId="Continuarlista3">
    <w:name w:val="List Continue 3"/>
    <w:basedOn w:val="Normal"/>
    <w:pPr>
      <w:spacing w:after="120"/>
      <w:ind w:left="849"/>
    </w:pPr>
  </w:style>
  <w:style w:type="paragraph" w:styleId="Continuarlista4">
    <w:name w:val="List Continue 4"/>
    <w:basedOn w:val="Normal"/>
    <w:pPr>
      <w:spacing w:after="120"/>
      <w:ind w:left="1132"/>
    </w:pPr>
  </w:style>
  <w:style w:type="paragraph" w:styleId="Continuarlista5">
    <w:name w:val="List Continue 5"/>
    <w:basedOn w:val="Normal"/>
    <w:pPr>
      <w:spacing w:after="120"/>
      <w:ind w:left="1415"/>
    </w:pPr>
  </w:style>
  <w:style w:type="paragraph" w:styleId="Listaconnmeros">
    <w:name w:val="List Number"/>
    <w:basedOn w:val="Normal"/>
    <w:pPr>
      <w:numPr>
        <w:numId w:val="14"/>
      </w:numPr>
    </w:pPr>
  </w:style>
  <w:style w:type="paragraph" w:styleId="Listaconnmeros2">
    <w:name w:val="List Number 2"/>
    <w:basedOn w:val="Text2"/>
    <w:pPr>
      <w:numPr>
        <w:numId w:val="16"/>
      </w:numPr>
      <w:tabs>
        <w:tab w:val="clear" w:pos="2160"/>
      </w:tabs>
    </w:pPr>
  </w:style>
  <w:style w:type="paragraph" w:styleId="Listaconnmeros3">
    <w:name w:val="List Number 3"/>
    <w:basedOn w:val="Text3"/>
    <w:pPr>
      <w:numPr>
        <w:numId w:val="17"/>
      </w:numPr>
      <w:tabs>
        <w:tab w:val="clear" w:pos="2302"/>
      </w:tabs>
    </w:pPr>
  </w:style>
  <w:style w:type="paragraph" w:styleId="Listaconnmeros4">
    <w:name w:val="List Number 4"/>
    <w:basedOn w:val="Text4"/>
    <w:pPr>
      <w:numPr>
        <w:numId w:val="18"/>
      </w:numPr>
    </w:pPr>
  </w:style>
  <w:style w:type="paragraph" w:styleId="Listaconnmeros5">
    <w:name w:val="List Number 5"/>
    <w:basedOn w:val="Normal"/>
    <w:pPr>
      <w:numPr>
        <w:numId w:val="2"/>
      </w:numPr>
    </w:pPr>
  </w:style>
  <w:style w:type="paragraph" w:styleId="Texto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cabezadodemensaj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angranormal">
    <w:name w:val="Normal Indent"/>
    <w:basedOn w:val="Normal"/>
    <w:pPr>
      <w:ind w:left="720"/>
    </w:pPr>
  </w:style>
  <w:style w:type="paragraph" w:styleId="Encabezadodenota">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tulo1"/>
    <w:next w:val="Text1"/>
    <w:pPr>
      <w:keepNext w:val="0"/>
      <w:spacing w:before="0"/>
      <w:outlineLvl w:val="9"/>
    </w:pPr>
    <w:rPr>
      <w:b w:val="0"/>
      <w:smallCaps w:val="0"/>
    </w:rPr>
  </w:style>
  <w:style w:type="paragraph" w:customStyle="1" w:styleId="NumPar2">
    <w:name w:val="NumPar 2"/>
    <w:basedOn w:val="Ttulo2"/>
    <w:next w:val="Text2"/>
    <w:pPr>
      <w:keepNext w:val="0"/>
      <w:outlineLvl w:val="9"/>
    </w:pPr>
    <w:rPr>
      <w:b w:val="0"/>
    </w:rPr>
  </w:style>
  <w:style w:type="paragraph" w:customStyle="1" w:styleId="NumPar3">
    <w:name w:val="NumPar 3"/>
    <w:basedOn w:val="Ttulo3"/>
    <w:next w:val="Text3"/>
    <w:pPr>
      <w:keepNext w:val="0"/>
      <w:outlineLvl w:val="9"/>
    </w:pPr>
    <w:rPr>
      <w:i w:val="0"/>
    </w:rPr>
  </w:style>
  <w:style w:type="paragraph" w:customStyle="1" w:styleId="NumPar4">
    <w:name w:val="NumPar 4"/>
    <w:basedOn w:val="Ttulo4"/>
    <w:next w:val="Text4"/>
    <w:pPr>
      <w:keepNext w:val="0"/>
      <w:outlineLvl w:val="9"/>
    </w:pPr>
  </w:style>
  <w:style w:type="paragraph" w:styleId="Textosinformato">
    <w:name w:val="Plain Text"/>
    <w:basedOn w:val="Normal"/>
    <w:rPr>
      <w:rFonts w:ascii="Courier New" w:hAnsi="Courier New"/>
      <w:sz w:val="20"/>
    </w:rPr>
  </w:style>
  <w:style w:type="paragraph" w:styleId="Saludo">
    <w:name w:val="Salutation"/>
    <w:basedOn w:val="Normal"/>
    <w:next w:val="Normal"/>
  </w:style>
  <w:style w:type="paragraph" w:styleId="Subttulo">
    <w:name w:val="Subtitle"/>
    <w:basedOn w:val="Normal"/>
    <w:qFormat/>
    <w:pPr>
      <w:spacing w:after="60"/>
      <w:jc w:val="center"/>
      <w:outlineLvl w:val="1"/>
    </w:pPr>
    <w:rPr>
      <w:rFonts w:ascii="Arial" w:hAnsi="Arial"/>
    </w:rPr>
  </w:style>
  <w:style w:type="paragraph" w:styleId="Textoconsangra">
    <w:name w:val="table of authorities"/>
    <w:basedOn w:val="Normal"/>
    <w:next w:val="Normal"/>
    <w:semiHidden/>
    <w:pPr>
      <w:ind w:left="240" w:hanging="240"/>
    </w:pPr>
  </w:style>
  <w:style w:type="paragraph" w:styleId="Tabladeilustraciones">
    <w:name w:val="table of figures"/>
    <w:basedOn w:val="Normal"/>
    <w:next w:val="Normal"/>
    <w:semiHidden/>
    <w:pPr>
      <w:ind w:left="480" w:hanging="480"/>
    </w:pPr>
  </w:style>
  <w:style w:type="paragraph" w:styleId="Ttulo">
    <w:name w:val="Title"/>
    <w:basedOn w:val="Normal"/>
    <w:qFormat/>
    <w:pPr>
      <w:spacing w:before="240" w:after="60"/>
      <w:jc w:val="center"/>
      <w:outlineLvl w:val="0"/>
    </w:pPr>
    <w:rPr>
      <w:rFonts w:ascii="Arial" w:hAnsi="Arial"/>
      <w:b/>
      <w:kern w:val="28"/>
      <w:sz w:val="32"/>
    </w:rPr>
  </w:style>
  <w:style w:type="paragraph" w:styleId="Encabezadodelista">
    <w:name w:val="toa heading"/>
    <w:basedOn w:val="Normal"/>
    <w:next w:val="Normal"/>
    <w:semiHidden/>
    <w:pPr>
      <w:spacing w:before="120"/>
    </w:pPr>
    <w:rPr>
      <w:rFonts w:ascii="Arial" w:hAnsi="Arial"/>
      <w:b/>
    </w:rPr>
  </w:style>
  <w:style w:type="paragraph" w:styleId="TDC1">
    <w:name w:val="toc 1"/>
    <w:basedOn w:val="Normal"/>
    <w:next w:val="Normal"/>
    <w:semiHidden/>
    <w:pPr>
      <w:tabs>
        <w:tab w:val="right" w:leader="dot" w:pos="8640"/>
      </w:tabs>
      <w:spacing w:before="120" w:after="120"/>
      <w:ind w:left="482" w:right="720" w:hanging="482"/>
    </w:pPr>
    <w:rPr>
      <w:caps/>
    </w:rPr>
  </w:style>
  <w:style w:type="paragraph" w:styleId="TDC2">
    <w:name w:val="toc 2"/>
    <w:basedOn w:val="Normal"/>
    <w:next w:val="Normal"/>
    <w:semiHidden/>
    <w:pPr>
      <w:tabs>
        <w:tab w:val="right" w:leader="dot" w:pos="8640"/>
      </w:tabs>
      <w:spacing w:before="60" w:after="60"/>
      <w:ind w:left="1077" w:right="720" w:hanging="595"/>
    </w:pPr>
  </w:style>
  <w:style w:type="paragraph" w:styleId="TDC3">
    <w:name w:val="toc 3"/>
    <w:basedOn w:val="Normal"/>
    <w:next w:val="Normal"/>
    <w:semiHidden/>
    <w:pPr>
      <w:tabs>
        <w:tab w:val="right" w:leader="dot" w:pos="8640"/>
      </w:tabs>
      <w:spacing w:before="60" w:after="60"/>
      <w:ind w:left="1916" w:right="720" w:hanging="839"/>
    </w:pPr>
  </w:style>
  <w:style w:type="paragraph" w:styleId="TDC4">
    <w:name w:val="toc 4"/>
    <w:basedOn w:val="Normal"/>
    <w:next w:val="Normal"/>
    <w:semiHidden/>
    <w:pPr>
      <w:tabs>
        <w:tab w:val="right" w:leader="dot" w:pos="8641"/>
      </w:tabs>
      <w:spacing w:before="60" w:after="60"/>
      <w:ind w:left="2880" w:right="720" w:hanging="964"/>
    </w:pPr>
  </w:style>
  <w:style w:type="paragraph" w:styleId="TDC5">
    <w:name w:val="toc 5"/>
    <w:basedOn w:val="Normal"/>
    <w:next w:val="Normal"/>
    <w:semiHidden/>
    <w:pPr>
      <w:tabs>
        <w:tab w:val="right" w:leader="dot" w:pos="8641"/>
      </w:tabs>
      <w:spacing w:before="240" w:after="120"/>
      <w:ind w:right="720"/>
    </w:pPr>
    <w:rPr>
      <w:caps/>
    </w:r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160"/>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160"/>
      </w:tabs>
    </w:pPr>
  </w:style>
  <w:style w:type="paragraph" w:customStyle="1" w:styleId="ListNumber2Level3">
    <w:name w:val="List Number 2 (Level 3)"/>
    <w:basedOn w:val="Text2"/>
    <w:pPr>
      <w:numPr>
        <w:ilvl w:val="2"/>
        <w:numId w:val="16"/>
      </w:numPr>
      <w:tabs>
        <w:tab w:val="clear" w:pos="2160"/>
      </w:tabs>
    </w:pPr>
  </w:style>
  <w:style w:type="paragraph" w:customStyle="1" w:styleId="ListNumber2Level4">
    <w:name w:val="List Number 2 (Level 4)"/>
    <w:basedOn w:val="Text2"/>
    <w:pPr>
      <w:numPr>
        <w:ilvl w:val="3"/>
        <w:numId w:val="16"/>
      </w:numPr>
      <w:tabs>
        <w:tab w:val="clear" w:pos="2160"/>
      </w:tabs>
      <w:ind w:left="3901" w:hanging="703"/>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pPr>
  </w:style>
  <w:style w:type="paragraph" w:customStyle="1" w:styleId="ListNumber4Level3">
    <w:name w:val="List Number 4 (Level 3)"/>
    <w:basedOn w:val="Text4"/>
    <w:pPr>
      <w:numPr>
        <w:ilvl w:val="2"/>
        <w:numId w:val="18"/>
      </w:numPr>
    </w:pPr>
  </w:style>
  <w:style w:type="paragraph" w:customStyle="1" w:styleId="ListNumber4Level4">
    <w:name w:val="List Number 4 (Level 4)"/>
    <w:basedOn w:val="Text4"/>
    <w:pPr>
      <w:numPr>
        <w:ilvl w:val="3"/>
        <w:numId w:val="18"/>
      </w:numPr>
    </w:pPr>
  </w:style>
  <w:style w:type="paragraph" w:styleId="TtulodeTDC">
    <w:name w:val="TOC Heading"/>
    <w:basedOn w:val="Normal"/>
    <w:next w:val="Normal"/>
    <w:qFormat/>
    <w:pPr>
      <w:keepNext/>
      <w:spacing w:before="240"/>
      <w:jc w:val="center"/>
    </w:pPr>
    <w:rPr>
      <w:b/>
    </w:rPr>
  </w:style>
  <w:style w:type="paragraph" w:customStyle="1" w:styleId="Contact">
    <w:name w:val="Contact"/>
    <w:basedOn w:val="Normal"/>
    <w:next w:val="Enclosures"/>
    <w:uiPriority w:val="99"/>
    <w:pPr>
      <w:spacing w:before="480" w:after="0"/>
      <w:ind w:left="567" w:hanging="567"/>
      <w:jc w:val="left"/>
    </w:pPr>
  </w:style>
  <w:style w:type="paragraph" w:customStyle="1" w:styleId="DisclaimerNotice">
    <w:name w:val="Disclaimer Notice"/>
    <w:basedOn w:val="Normal"/>
    <w:next w:val="AddressTR"/>
    <w:pPr>
      <w:ind w:left="5103"/>
      <w:jc w:val="left"/>
    </w:pPr>
    <w:rPr>
      <w:i/>
      <w:sz w:val="20"/>
    </w:rPr>
  </w:style>
  <w:style w:type="paragraph" w:customStyle="1" w:styleId="Disclaimer">
    <w:name w:val="Disclaimer"/>
    <w:basedOn w:val="Normal"/>
    <w:pPr>
      <w:keepLines/>
      <w:pBdr>
        <w:top w:val="single" w:sz="4" w:space="1" w:color="auto"/>
      </w:pBdr>
      <w:spacing w:before="480" w:after="0"/>
    </w:pPr>
    <w:rPr>
      <w:i/>
    </w:rPr>
  </w:style>
  <w:style w:type="character" w:styleId="Hipervnculovisitado">
    <w:name w:val="FollowedHyperlink"/>
    <w:rPr>
      <w:color w:val="800080"/>
      <w:u w:val="single"/>
    </w:rPr>
  </w:style>
  <w:style w:type="paragraph" w:customStyle="1" w:styleId="DisclaimerSJ">
    <w:name w:val="Disclaimer_SJ"/>
    <w:basedOn w:val="Normal"/>
    <w:next w:val="Normal"/>
    <w:pPr>
      <w:spacing w:after="0"/>
    </w:pPr>
    <w:rPr>
      <w:rFonts w:ascii="Arial" w:hAnsi="Arial"/>
      <w:b/>
      <w:sz w:val="16"/>
    </w:r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qFormat/>
    <w:pPr>
      <w:spacing w:after="0"/>
      <w:jc w:val="center"/>
    </w:pPr>
    <w:rPr>
      <w:b/>
      <w:caps/>
      <w:sz w:val="32"/>
      <w:lang w:val="de-DE"/>
    </w:rPr>
  </w:style>
  <w:style w:type="paragraph" w:customStyle="1" w:styleId="RUE">
    <w:name w:val="RUE"/>
    <w:basedOn w:val="Normal"/>
    <w:pPr>
      <w:spacing w:after="0"/>
      <w:jc w:val="center"/>
    </w:pPr>
    <w:rPr>
      <w:b/>
      <w:caps/>
      <w:sz w:val="32"/>
      <w:bdr w:val="single" w:sz="18" w:space="0" w:color="auto"/>
      <w:lang w:val="de-DE"/>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SecretUE">
    <w:name w:val="Secret UE"/>
    <w:basedOn w:val="Normal"/>
    <w:pPr>
      <w:spacing w:after="0"/>
      <w:jc w:val="center"/>
    </w:pPr>
    <w:rPr>
      <w:b/>
      <w:caps/>
      <w:color w:val="FF0000"/>
      <w:sz w:val="32"/>
      <w:bdr w:val="single" w:sz="18" w:space="0" w:color="FF0000"/>
    </w:rPr>
  </w:style>
  <w:style w:type="character" w:customStyle="1" w:styleId="PiedepginaCar">
    <w:name w:val="Pie de página Car"/>
    <w:link w:val="Piedepgina"/>
    <w:uiPriority w:val="99"/>
    <w:rsid w:val="002170FF"/>
    <w:rPr>
      <w:rFonts w:ascii="Arial" w:hAnsi="Arial"/>
      <w:sz w:val="16"/>
      <w:lang w:eastAsia="en-US"/>
    </w:rPr>
  </w:style>
  <w:style w:type="character" w:customStyle="1" w:styleId="FechaCar">
    <w:name w:val="Fecha Car"/>
    <w:link w:val="Fecha"/>
    <w:uiPriority w:val="99"/>
    <w:rsid w:val="002170FF"/>
    <w:rPr>
      <w:sz w:val="24"/>
      <w:lang w:eastAsia="en-US"/>
    </w:rPr>
  </w:style>
  <w:style w:type="character" w:customStyle="1" w:styleId="FirmaCar">
    <w:name w:val="Firma Car"/>
    <w:link w:val="Firma"/>
    <w:uiPriority w:val="99"/>
    <w:rsid w:val="002170FF"/>
    <w:rPr>
      <w:sz w:val="24"/>
      <w:lang w:eastAsia="en-US"/>
    </w:rPr>
  </w:style>
  <w:style w:type="paragraph" w:customStyle="1" w:styleId="ZCom">
    <w:name w:val="Z_Com"/>
    <w:basedOn w:val="Normal"/>
    <w:next w:val="ZDGName"/>
    <w:uiPriority w:val="99"/>
    <w:rsid w:val="002170FF"/>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uiPriority w:val="99"/>
    <w:rsid w:val="002170FF"/>
    <w:pPr>
      <w:widowControl w:val="0"/>
      <w:autoSpaceDE w:val="0"/>
      <w:autoSpaceDN w:val="0"/>
      <w:spacing w:after="0"/>
      <w:ind w:right="85"/>
      <w:jc w:val="left"/>
    </w:pPr>
    <w:rPr>
      <w:rFonts w:ascii="Arial" w:hAnsi="Arial" w:cs="Arial"/>
      <w:sz w:val="16"/>
      <w:szCs w:val="16"/>
      <w:lang w:eastAsia="en-GB"/>
    </w:rPr>
  </w:style>
  <w:style w:type="character" w:customStyle="1" w:styleId="EncabezadoCar">
    <w:name w:val="Encabezado Car"/>
    <w:link w:val="Encabezado"/>
    <w:uiPriority w:val="99"/>
    <w:rsid w:val="002170FF"/>
    <w:rPr>
      <w:sz w:val="24"/>
      <w:lang w:eastAsia="en-US"/>
    </w:rPr>
  </w:style>
  <w:style w:type="paragraph" w:styleId="Textodeglobo">
    <w:name w:val="Balloon Text"/>
    <w:basedOn w:val="Normal"/>
    <w:link w:val="TextodegloboCar"/>
    <w:uiPriority w:val="99"/>
    <w:semiHidden/>
    <w:unhideWhenUsed/>
    <w:rsid w:val="004A3BB9"/>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A3BB9"/>
    <w:rPr>
      <w:rFonts w:ascii="Tahoma" w:hAnsi="Tahoma" w:cs="Tahoma"/>
      <w:sz w:val="16"/>
      <w:szCs w:val="16"/>
      <w:lang w:eastAsia="en-US"/>
    </w:rPr>
  </w:style>
  <w:style w:type="paragraph" w:styleId="Prrafodelista">
    <w:name w:val="List Paragraph"/>
    <w:basedOn w:val="Normal"/>
    <w:uiPriority w:val="34"/>
    <w:qFormat/>
    <w:rsid w:val="00491A27"/>
    <w:pPr>
      <w:spacing w:after="0"/>
      <w:ind w:left="720"/>
      <w:jc w:val="left"/>
    </w:pPr>
    <w:rPr>
      <w:rFonts w:asciiTheme="minorHAnsi" w:hAnsiTheme="minorHAnsi"/>
      <w:sz w:val="22"/>
      <w:szCs w:val="22"/>
    </w:rPr>
  </w:style>
  <w:style w:type="character" w:styleId="Hipervnculo">
    <w:name w:val="Hyperlink"/>
    <w:basedOn w:val="Fuentedeprrafopredeter"/>
    <w:uiPriority w:val="99"/>
    <w:unhideWhenUsed/>
    <w:rsid w:val="00093B73"/>
    <w:rPr>
      <w:color w:val="0000FF" w:themeColor="hyperlink"/>
      <w:u w:val="single"/>
    </w:rPr>
  </w:style>
  <w:style w:type="character" w:styleId="Refdenotaalpie">
    <w:name w:val="footnote reference"/>
    <w:basedOn w:val="Fuentedeprrafopredeter"/>
    <w:uiPriority w:val="99"/>
    <w:semiHidden/>
    <w:unhideWhenUsed/>
    <w:rsid w:val="00093B73"/>
    <w:rPr>
      <w:vertAlign w:val="superscript"/>
    </w:rPr>
  </w:style>
  <w:style w:type="character" w:customStyle="1" w:styleId="Ttulo2Car">
    <w:name w:val="Título 2 Car"/>
    <w:basedOn w:val="Fuentedeprrafopredeter"/>
    <w:link w:val="Ttulo2"/>
    <w:rsid w:val="00206977"/>
    <w:rPr>
      <w:b/>
      <w:sz w:val="24"/>
      <w:lang w:eastAsia="en-US"/>
    </w:rPr>
  </w:style>
  <w:style w:type="table" w:styleId="Tablaconcuadrcula">
    <w:name w:val="Table Grid"/>
    <w:basedOn w:val="Tablanormal"/>
    <w:uiPriority w:val="59"/>
    <w:rsid w:val="00192B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notapieCar">
    <w:name w:val="Texto nota pie Car"/>
    <w:link w:val="Textonotapie"/>
    <w:uiPriority w:val="99"/>
    <w:semiHidden/>
    <w:rsid w:val="009A1518"/>
    <w:rPr>
      <w:lang w:eastAsia="en-US"/>
    </w:rPr>
  </w:style>
  <w:style w:type="character" w:styleId="Refdecomentario">
    <w:name w:val="annotation reference"/>
    <w:basedOn w:val="Fuentedeprrafopredeter"/>
    <w:uiPriority w:val="99"/>
    <w:semiHidden/>
    <w:unhideWhenUsed/>
    <w:rsid w:val="008B5DC8"/>
    <w:rPr>
      <w:sz w:val="16"/>
      <w:szCs w:val="16"/>
    </w:rPr>
  </w:style>
  <w:style w:type="paragraph" w:styleId="Asuntodelcomentario">
    <w:name w:val="annotation subject"/>
    <w:basedOn w:val="Textocomentario"/>
    <w:next w:val="Textocomentario"/>
    <w:link w:val="AsuntodelcomentarioCar"/>
    <w:uiPriority w:val="99"/>
    <w:semiHidden/>
    <w:unhideWhenUsed/>
    <w:rsid w:val="008B5DC8"/>
    <w:rPr>
      <w:b/>
      <w:bCs/>
    </w:rPr>
  </w:style>
  <w:style w:type="character" w:customStyle="1" w:styleId="TextocomentarioCar">
    <w:name w:val="Texto comentario Car"/>
    <w:basedOn w:val="Fuentedeprrafopredeter"/>
    <w:link w:val="Textocomentario"/>
    <w:semiHidden/>
    <w:rsid w:val="008B5DC8"/>
    <w:rPr>
      <w:lang w:eastAsia="en-US"/>
    </w:rPr>
  </w:style>
  <w:style w:type="character" w:customStyle="1" w:styleId="AsuntodelcomentarioCar">
    <w:name w:val="Asunto del comentario Car"/>
    <w:basedOn w:val="TextocomentarioCar"/>
    <w:link w:val="Asuntodelcomentario"/>
    <w:uiPriority w:val="99"/>
    <w:semiHidden/>
    <w:rsid w:val="008B5DC8"/>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92702">
      <w:bodyDiv w:val="1"/>
      <w:marLeft w:val="0"/>
      <w:marRight w:val="0"/>
      <w:marTop w:val="0"/>
      <w:marBottom w:val="0"/>
      <w:divBdr>
        <w:top w:val="none" w:sz="0" w:space="0" w:color="auto"/>
        <w:left w:val="none" w:sz="0" w:space="0" w:color="auto"/>
        <w:bottom w:val="none" w:sz="0" w:space="0" w:color="auto"/>
        <w:right w:val="none" w:sz="0" w:space="0" w:color="auto"/>
      </w:divBdr>
    </w:div>
    <w:div w:id="622544429">
      <w:bodyDiv w:val="1"/>
      <w:marLeft w:val="0"/>
      <w:marRight w:val="0"/>
      <w:marTop w:val="0"/>
      <w:marBottom w:val="0"/>
      <w:divBdr>
        <w:top w:val="none" w:sz="0" w:space="0" w:color="auto"/>
        <w:left w:val="none" w:sz="0" w:space="0" w:color="auto"/>
        <w:bottom w:val="none" w:sz="0" w:space="0" w:color="auto"/>
        <w:right w:val="none" w:sz="0" w:space="0" w:color="auto"/>
      </w:divBdr>
    </w:div>
    <w:div w:id="797837515">
      <w:bodyDiv w:val="1"/>
      <w:marLeft w:val="0"/>
      <w:marRight w:val="0"/>
      <w:marTop w:val="0"/>
      <w:marBottom w:val="0"/>
      <w:divBdr>
        <w:top w:val="none" w:sz="0" w:space="0" w:color="auto"/>
        <w:left w:val="none" w:sz="0" w:space="0" w:color="auto"/>
        <w:bottom w:val="none" w:sz="0" w:space="0" w:color="auto"/>
        <w:right w:val="none" w:sz="0" w:space="0" w:color="auto"/>
      </w:divBdr>
    </w:div>
    <w:div w:id="1005089746">
      <w:bodyDiv w:val="1"/>
      <w:marLeft w:val="0"/>
      <w:marRight w:val="0"/>
      <w:marTop w:val="0"/>
      <w:marBottom w:val="0"/>
      <w:divBdr>
        <w:top w:val="none" w:sz="0" w:space="0" w:color="auto"/>
        <w:left w:val="none" w:sz="0" w:space="0" w:color="auto"/>
        <w:bottom w:val="none" w:sz="0" w:space="0" w:color="auto"/>
        <w:right w:val="none" w:sz="0" w:space="0" w:color="auto"/>
      </w:divBdr>
    </w:div>
    <w:div w:id="1406226551">
      <w:bodyDiv w:val="1"/>
      <w:marLeft w:val="0"/>
      <w:marRight w:val="0"/>
      <w:marTop w:val="0"/>
      <w:marBottom w:val="0"/>
      <w:divBdr>
        <w:top w:val="none" w:sz="0" w:space="0" w:color="auto"/>
        <w:left w:val="none" w:sz="0" w:space="0" w:color="auto"/>
        <w:bottom w:val="none" w:sz="0" w:space="0" w:color="auto"/>
        <w:right w:val="none" w:sz="0" w:space="0" w:color="auto"/>
      </w:divBdr>
      <w:divsChild>
        <w:div w:id="1122847712">
          <w:marLeft w:val="0"/>
          <w:marRight w:val="0"/>
          <w:marTop w:val="0"/>
          <w:marBottom w:val="240"/>
          <w:divBdr>
            <w:top w:val="none" w:sz="0" w:space="0" w:color="auto"/>
            <w:left w:val="none" w:sz="0" w:space="0" w:color="auto"/>
            <w:bottom w:val="none" w:sz="0" w:space="0" w:color="auto"/>
            <w:right w:val="none" w:sz="0" w:space="0" w:color="auto"/>
          </w:divBdr>
        </w:div>
        <w:div w:id="1877961858">
          <w:marLeft w:val="0"/>
          <w:marRight w:val="0"/>
          <w:marTop w:val="240"/>
          <w:marBottom w:val="240"/>
          <w:divBdr>
            <w:top w:val="none" w:sz="0" w:space="0" w:color="auto"/>
            <w:left w:val="none" w:sz="0" w:space="0" w:color="auto"/>
            <w:bottom w:val="none" w:sz="0" w:space="0" w:color="auto"/>
            <w:right w:val="none" w:sz="0" w:space="0" w:color="auto"/>
          </w:divBdr>
        </w:div>
        <w:div w:id="1759254268">
          <w:marLeft w:val="0"/>
          <w:marRight w:val="0"/>
          <w:marTop w:val="0"/>
          <w:marBottom w:val="240"/>
          <w:divBdr>
            <w:top w:val="none" w:sz="0" w:space="0" w:color="auto"/>
            <w:left w:val="none" w:sz="0" w:space="0" w:color="auto"/>
            <w:bottom w:val="none" w:sz="0" w:space="0" w:color="auto"/>
            <w:right w:val="none" w:sz="0" w:space="0" w:color="auto"/>
          </w:divBdr>
        </w:div>
        <w:div w:id="437599852">
          <w:marLeft w:val="0"/>
          <w:marRight w:val="0"/>
          <w:marTop w:val="240"/>
          <w:marBottom w:val="240"/>
          <w:divBdr>
            <w:top w:val="none" w:sz="0" w:space="0" w:color="auto"/>
            <w:left w:val="none" w:sz="0" w:space="0" w:color="auto"/>
            <w:bottom w:val="none" w:sz="0" w:space="0" w:color="auto"/>
            <w:right w:val="none" w:sz="0" w:space="0" w:color="auto"/>
          </w:divBdr>
        </w:div>
      </w:divsChild>
    </w:div>
    <w:div w:id="1496149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regional_policy/information/guidelines/index_en.cfm" TargetMode="External"/><Relationship Id="rId2" Type="http://schemas.openxmlformats.org/officeDocument/2006/relationships/hyperlink" Target="http://ec.europa.eu/regional_policy/thefunds/instruments/doc/20130621_ta_survey_en.pdf" TargetMode="External"/><Relationship Id="rId1" Type="http://schemas.openxmlformats.org/officeDocument/2006/relationships/hyperlink" Target="http://ec.europa.eu/social/main.jsp?catId=108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no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027A0D27000C7B43B5DCCB591239F135" ma:contentTypeVersion="0" ma:contentTypeDescription="Crear nuevo documento." ma:contentTypeScope="" ma:versionID="543262cfebb82da8e7d11c48966bbda6">
  <xsd:schema xmlns:xsd="http://www.w3.org/2001/XMLSchema" xmlns:xs="http://www.w3.org/2001/XMLSchema" xmlns:p="http://schemas.microsoft.com/office/2006/metadata/properties" targetNamespace="http://schemas.microsoft.com/office/2006/metadata/properties" ma:root="true" ma:fieldsID="0528bbcba7b7317dfa319d789ef315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E1C222-D6C2-437D-958F-2B445DD0EAFA}"/>
</file>

<file path=customXml/itemProps2.xml><?xml version="1.0" encoding="utf-8"?>
<ds:datastoreItem xmlns:ds="http://schemas.openxmlformats.org/officeDocument/2006/customXml" ds:itemID="{48FF5AB0-7C88-46A4-872A-D88EEAA754FD}"/>
</file>

<file path=customXml/itemProps3.xml><?xml version="1.0" encoding="utf-8"?>
<ds:datastoreItem xmlns:ds="http://schemas.openxmlformats.org/officeDocument/2006/customXml" ds:itemID="{BEB7F1AD-BE5D-42B8-A346-59DCD965A7BC}"/>
</file>

<file path=customXml/itemProps4.xml><?xml version="1.0" encoding="utf-8"?>
<ds:datastoreItem xmlns:ds="http://schemas.openxmlformats.org/officeDocument/2006/customXml" ds:itemID="{1508066C-7C13-4829-939A-2953447237DB}"/>
</file>

<file path=docProps/app.xml><?xml version="1.0" encoding="utf-8"?>
<Properties xmlns="http://schemas.openxmlformats.org/officeDocument/2006/extended-properties" xmlns:vt="http://schemas.openxmlformats.org/officeDocument/2006/docPropsVTypes">
  <Template>not.dot</Template>
  <TotalTime>1</TotalTime>
  <Pages>2</Pages>
  <Words>1640</Words>
  <Characters>9021</Characters>
  <Application>Microsoft Office Word</Application>
  <DocSecurity>0</DocSecurity>
  <PresentationFormat>Microsoft Word 14.0</PresentationFormat>
  <Lines>75</Lines>
  <Paragraphs>21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10640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Rudolf Niessler</dc:creator>
  <cp:keywords>EL4</cp:keywords>
  <cp:lastModifiedBy>Tovar Rodriguez, Francisco Gabriel</cp:lastModifiedBy>
  <cp:revision>2</cp:revision>
  <cp:lastPrinted>2014-04-11T09:06:00Z</cp:lastPrinted>
  <dcterms:created xsi:type="dcterms:W3CDTF">2014-10-08T07:57:00Z</dcterms:created>
  <dcterms:modified xsi:type="dcterms:W3CDTF">2014-10-08T07:57:00Z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4.5.0.3</vt:lpwstr>
  </property>
  <property fmtid="{D5CDD505-2E9C-101B-9397-08002B2CF9AE}" pid="3" name="EurolookVersion">
    <vt:lpwstr>4.5</vt:lpwstr>
  </property>
  <property fmtid="{D5CDD505-2E9C-101B-9397-08002B2CF9AE}" pid="4" name="DocID_EU">
    <vt:lpwstr> </vt:lpwstr>
  </property>
  <property fmtid="{D5CDD505-2E9C-101B-9397-08002B2CF9AE}" pid="5" name="ELDocType">
    <vt:lpwstr>not.dot</vt:lpwstr>
  </property>
  <property fmtid="{D5CDD505-2E9C-101B-9397-08002B2CF9AE}" pid="6" name="Created using">
    <vt:lpwstr>EL 4.6 Build 19516</vt:lpwstr>
  </property>
  <property fmtid="{D5CDD505-2E9C-101B-9397-08002B2CF9AE}" pid="7" name="Formatting">
    <vt:lpwstr>4.1</vt:lpwstr>
  </property>
  <property fmtid="{D5CDD505-2E9C-101B-9397-08002B2CF9AE}" pid="8" name="Last edited using">
    <vt:lpwstr>EL 4.6 Build 34000</vt:lpwstr>
  </property>
  <property fmtid="{D5CDD505-2E9C-101B-9397-08002B2CF9AE}" pid="9" name="EL_Author">
    <vt:lpwstr>Rudolf Niessler</vt:lpwstr>
  </property>
  <property fmtid="{D5CDD505-2E9C-101B-9397-08002B2CF9AE}" pid="10" name="Type">
    <vt:lpwstr>Eurolook Note &amp; Letter</vt:lpwstr>
  </property>
  <property fmtid="{D5CDD505-2E9C-101B-9397-08002B2CF9AE}" pid="11" name="Language">
    <vt:lpwstr>EN</vt:lpwstr>
  </property>
  <property fmtid="{D5CDD505-2E9C-101B-9397-08002B2CF9AE}" pid="12" name="EL_Language">
    <vt:lpwstr>EN</vt:lpwstr>
  </property>
  <property fmtid="{D5CDD505-2E9C-101B-9397-08002B2CF9AE}" pid="13" name="ContentTypeId">
    <vt:lpwstr>0x010100027A0D27000C7B43B5DCCB591239F135</vt:lpwstr>
  </property>
</Properties>
</file>